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60F76">
      <w:pPr>
        <w:ind w:firstLine="6505" w:firstLineChars="2700"/>
        <w:rPr>
          <w:rFonts w:ascii="黑体" w:hAnsi="宋体" w:eastAsia="黑体"/>
          <w:b/>
          <w:sz w:val="24"/>
        </w:rPr>
      </w:pPr>
      <w:bookmarkStart w:id="0" w:name="_Hlk111561844"/>
      <w:r>
        <w:rPr>
          <w:rFonts w:hint="eastAsia" w:ascii="黑体" w:hAnsi="宋体" w:eastAsia="黑体"/>
          <w:b/>
          <w:sz w:val="24"/>
        </w:rPr>
        <w:t>合同</w:t>
      </w:r>
      <w:r>
        <w:rPr>
          <w:rFonts w:ascii="黑体" w:hAnsi="宋体" w:eastAsia="黑体"/>
          <w:b/>
          <w:sz w:val="24"/>
        </w:rPr>
        <w:t xml:space="preserve">编号： </w:t>
      </w:r>
    </w:p>
    <w:p w14:paraId="658C04B2">
      <w:pPr>
        <w:ind w:firstLine="281" w:firstLineChars="100"/>
        <w:jc w:val="left"/>
        <w:rPr>
          <w:rFonts w:ascii="宋体" w:hAnsi="宋体" w:cs="黑体"/>
          <w:b/>
          <w:bCs/>
          <w:sz w:val="30"/>
          <w:szCs w:val="30"/>
        </w:rPr>
      </w:pPr>
      <w:r>
        <w:rPr>
          <w:rFonts w:hint="eastAsia" w:ascii="宋体" w:hAnsi="宋体" w:cs="黑体"/>
          <w:b/>
          <w:bCs/>
          <w:sz w:val="28"/>
          <w:szCs w:val="28"/>
        </w:rPr>
        <w:t xml:space="preserve"> </w:t>
      </w:r>
    </w:p>
    <w:p w14:paraId="479D10E8">
      <w:pPr>
        <w:ind w:firstLine="361" w:firstLineChars="100"/>
        <w:jc w:val="center"/>
        <w:rPr>
          <w:rFonts w:ascii="Times New Roman" w:hAnsi="Times New Roman" w:eastAsia="黑体" w:cs="黑体"/>
          <w:b/>
          <w:bCs/>
          <w:sz w:val="36"/>
          <w:szCs w:val="36"/>
        </w:rPr>
      </w:pPr>
      <w:r>
        <w:rPr>
          <w:rFonts w:hint="eastAsia" w:ascii="Times New Roman" w:hAnsi="Times New Roman" w:eastAsia="黑体" w:cs="黑体"/>
          <w:b/>
          <w:bCs/>
          <w:sz w:val="36"/>
          <w:szCs w:val="36"/>
        </w:rPr>
        <w:t>临床试验合同(三方模板)</w:t>
      </w:r>
    </w:p>
    <w:p w14:paraId="6F9E71DD">
      <w:pPr>
        <w:rPr>
          <w:rFonts w:ascii="宋体" w:hAnsi="宋体"/>
          <w:sz w:val="24"/>
        </w:rPr>
      </w:pPr>
    </w:p>
    <w:p w14:paraId="2C832678">
      <w:pPr>
        <w:rPr>
          <w:rFonts w:ascii="宋体" w:hAnsi="宋体"/>
          <w:sz w:val="24"/>
        </w:rPr>
      </w:pPr>
    </w:p>
    <w:p w14:paraId="3E6794BF">
      <w:pPr>
        <w:rPr>
          <w:rFonts w:ascii="宋体" w:hAnsi="宋体"/>
          <w:sz w:val="24"/>
        </w:rPr>
      </w:pPr>
    </w:p>
    <w:p w14:paraId="26C24459">
      <w:pPr>
        <w:rPr>
          <w:rFonts w:ascii="宋体" w:hAnsi="宋体"/>
          <w:b/>
          <w:bCs/>
          <w:sz w:val="24"/>
        </w:rPr>
      </w:pPr>
      <w:r>
        <w:rPr>
          <w:rFonts w:hint="eastAsia" w:ascii="宋体" w:hAnsi="宋体"/>
          <w:b/>
          <w:bCs/>
          <w:sz w:val="24"/>
        </w:rPr>
        <w:t>试验产品名称：</w:t>
      </w:r>
    </w:p>
    <w:p w14:paraId="05C4BF76">
      <w:pPr>
        <w:rPr>
          <w:rFonts w:ascii="宋体" w:hAnsi="宋体"/>
          <w:b/>
          <w:bCs/>
          <w:sz w:val="24"/>
        </w:rPr>
      </w:pPr>
    </w:p>
    <w:p w14:paraId="67F1BD06">
      <w:pPr>
        <w:rPr>
          <w:rFonts w:ascii="宋体" w:hAnsi="宋体"/>
          <w:b/>
          <w:bCs/>
          <w:sz w:val="24"/>
        </w:rPr>
      </w:pPr>
    </w:p>
    <w:p w14:paraId="3FED80FF">
      <w:pPr>
        <w:rPr>
          <w:rFonts w:ascii="宋体" w:hAnsi="宋体"/>
          <w:b/>
          <w:bCs/>
          <w:sz w:val="24"/>
        </w:rPr>
      </w:pPr>
      <w:r>
        <w:rPr>
          <w:rFonts w:hint="eastAsia" w:ascii="宋体" w:hAnsi="宋体"/>
          <w:b/>
          <w:bCs/>
          <w:sz w:val="24"/>
        </w:rPr>
        <w:t>试验名称：</w:t>
      </w:r>
    </w:p>
    <w:p w14:paraId="157A8D1B">
      <w:pPr>
        <w:rPr>
          <w:rFonts w:ascii="宋体" w:hAnsi="宋体"/>
          <w:b/>
          <w:bCs/>
          <w:sz w:val="24"/>
        </w:rPr>
      </w:pPr>
    </w:p>
    <w:p w14:paraId="19840FD1">
      <w:pPr>
        <w:rPr>
          <w:rFonts w:ascii="宋体" w:hAnsi="宋体"/>
          <w:b/>
          <w:bCs/>
          <w:sz w:val="24"/>
        </w:rPr>
      </w:pPr>
    </w:p>
    <w:p w14:paraId="7A5F7194">
      <w:pPr>
        <w:rPr>
          <w:rFonts w:ascii="宋体" w:hAnsi="宋体"/>
          <w:b/>
          <w:bCs/>
          <w:sz w:val="24"/>
        </w:rPr>
      </w:pPr>
      <w:r>
        <w:rPr>
          <w:rFonts w:hint="eastAsia" w:ascii="宋体" w:hAnsi="宋体"/>
          <w:b/>
          <w:bCs/>
          <w:sz w:val="24"/>
        </w:rPr>
        <w:t>方案编号：</w:t>
      </w:r>
    </w:p>
    <w:p w14:paraId="3A9544DC">
      <w:pPr>
        <w:rPr>
          <w:rFonts w:ascii="宋体" w:hAnsi="宋体"/>
          <w:b/>
          <w:bCs/>
          <w:sz w:val="24"/>
        </w:rPr>
      </w:pPr>
    </w:p>
    <w:p w14:paraId="0B7F7CC6">
      <w:pPr>
        <w:rPr>
          <w:rFonts w:ascii="宋体" w:hAnsi="宋体"/>
          <w:b/>
          <w:bCs/>
          <w:sz w:val="24"/>
        </w:rPr>
      </w:pPr>
    </w:p>
    <w:p w14:paraId="34E26B08">
      <w:pPr>
        <w:rPr>
          <w:rFonts w:ascii="宋体" w:hAnsi="宋体"/>
          <w:b/>
          <w:bCs/>
          <w:sz w:val="24"/>
        </w:rPr>
      </w:pPr>
    </w:p>
    <w:p w14:paraId="6D30E719">
      <w:pPr>
        <w:rPr>
          <w:rFonts w:ascii="宋体" w:hAnsi="宋体"/>
          <w:b/>
          <w:bCs/>
          <w:sz w:val="24"/>
        </w:rPr>
      </w:pPr>
    </w:p>
    <w:p w14:paraId="081E9815">
      <w:pPr>
        <w:rPr>
          <w:rFonts w:ascii="宋体" w:hAnsi="宋体"/>
          <w:b/>
          <w:bCs/>
          <w:sz w:val="24"/>
        </w:rPr>
      </w:pPr>
    </w:p>
    <w:p w14:paraId="18BD039F">
      <w:pPr>
        <w:rPr>
          <w:rFonts w:ascii="宋体" w:hAnsi="宋体"/>
          <w:b/>
          <w:bCs/>
          <w:sz w:val="24"/>
        </w:rPr>
      </w:pPr>
    </w:p>
    <w:p w14:paraId="2640A1C3">
      <w:pPr>
        <w:rPr>
          <w:rFonts w:ascii="宋体" w:hAnsi="宋体"/>
          <w:b/>
          <w:bCs/>
          <w:sz w:val="24"/>
        </w:rPr>
      </w:pPr>
    </w:p>
    <w:p w14:paraId="188A75C2">
      <w:pPr>
        <w:rPr>
          <w:rFonts w:ascii="宋体" w:hAnsi="宋体"/>
          <w:b/>
          <w:bCs/>
          <w:sz w:val="24"/>
        </w:rPr>
      </w:pPr>
    </w:p>
    <w:p w14:paraId="12D444A2">
      <w:pPr>
        <w:rPr>
          <w:rFonts w:ascii="宋体" w:hAnsi="宋体"/>
          <w:b/>
          <w:bCs/>
          <w:sz w:val="24"/>
        </w:rPr>
      </w:pPr>
      <w:r>
        <w:rPr>
          <w:rFonts w:hint="eastAsia" w:ascii="宋体" w:hAnsi="宋体"/>
          <w:b/>
          <w:bCs/>
          <w:sz w:val="24"/>
        </w:rPr>
        <w:t xml:space="preserve">甲方（申办方）：     </w:t>
      </w:r>
    </w:p>
    <w:p w14:paraId="7459B452">
      <w:pPr>
        <w:rPr>
          <w:rFonts w:ascii="宋体" w:hAnsi="宋体"/>
          <w:b/>
          <w:bCs/>
          <w:sz w:val="24"/>
        </w:rPr>
      </w:pPr>
    </w:p>
    <w:p w14:paraId="306793D8">
      <w:pPr>
        <w:rPr>
          <w:rFonts w:ascii="宋体" w:hAnsi="宋体"/>
          <w:b/>
          <w:bCs/>
          <w:sz w:val="24"/>
        </w:rPr>
      </w:pPr>
      <w:r>
        <w:rPr>
          <w:rFonts w:hint="eastAsia" w:ascii="宋体" w:hAnsi="宋体"/>
          <w:b/>
          <w:bCs/>
          <w:sz w:val="24"/>
        </w:rPr>
        <w:t xml:space="preserve">                        </w:t>
      </w:r>
    </w:p>
    <w:p w14:paraId="109F883C">
      <w:pPr>
        <w:rPr>
          <w:rFonts w:ascii="宋体" w:hAnsi="宋体"/>
          <w:b/>
          <w:bCs/>
          <w:sz w:val="24"/>
        </w:rPr>
      </w:pPr>
      <w:r>
        <w:rPr>
          <w:rFonts w:hint="eastAsia" w:ascii="宋体" w:hAnsi="宋体"/>
          <w:b/>
          <w:bCs/>
          <w:sz w:val="24"/>
        </w:rPr>
        <w:t xml:space="preserve">乙方（研究单位）：XXXXXXXXX医院   </w:t>
      </w:r>
    </w:p>
    <w:p w14:paraId="533A1334">
      <w:pPr>
        <w:rPr>
          <w:rFonts w:ascii="宋体" w:hAnsi="宋体"/>
          <w:b/>
          <w:bCs/>
          <w:sz w:val="24"/>
        </w:rPr>
      </w:pPr>
    </w:p>
    <w:p w14:paraId="75FF8E93">
      <w:pPr>
        <w:rPr>
          <w:rFonts w:ascii="宋体" w:hAnsi="宋体"/>
          <w:b/>
          <w:bCs/>
          <w:sz w:val="24"/>
        </w:rPr>
      </w:pPr>
    </w:p>
    <w:p w14:paraId="680D91B0">
      <w:pPr>
        <w:rPr>
          <w:rFonts w:ascii="宋体" w:hAnsi="宋体"/>
          <w:b/>
          <w:bCs/>
          <w:sz w:val="24"/>
        </w:rPr>
      </w:pPr>
      <w:r>
        <w:rPr>
          <w:rFonts w:hint="eastAsia" w:ascii="宋体" w:hAnsi="宋体"/>
          <w:b/>
          <w:bCs/>
          <w:sz w:val="24"/>
        </w:rPr>
        <w:t xml:space="preserve">丙方（CRO）:                                 </w:t>
      </w:r>
    </w:p>
    <w:p w14:paraId="6B9B098A">
      <w:pPr>
        <w:rPr>
          <w:rFonts w:ascii="宋体" w:hAnsi="宋体"/>
          <w:b/>
          <w:bCs/>
          <w:sz w:val="24"/>
        </w:rPr>
      </w:pPr>
    </w:p>
    <w:p w14:paraId="35C9F5F5">
      <w:pPr>
        <w:rPr>
          <w:rFonts w:ascii="宋体" w:hAnsi="宋体"/>
          <w:b/>
          <w:bCs/>
          <w:sz w:val="24"/>
        </w:rPr>
      </w:pPr>
    </w:p>
    <w:p w14:paraId="1FED978A">
      <w:pPr>
        <w:rPr>
          <w:rFonts w:ascii="宋体" w:hAnsi="宋体"/>
          <w:sz w:val="24"/>
        </w:rPr>
      </w:pPr>
      <w:r>
        <w:rPr>
          <w:rFonts w:hint="eastAsia" w:ascii="宋体" w:hAnsi="宋体"/>
          <w:b/>
          <w:bCs/>
          <w:sz w:val="24"/>
        </w:rPr>
        <w:t xml:space="preserve"> </w:t>
      </w:r>
    </w:p>
    <w:p w14:paraId="78DB534F">
      <w:pPr>
        <w:rPr>
          <w:rFonts w:ascii="宋体" w:hAnsi="宋体"/>
          <w:sz w:val="24"/>
        </w:rPr>
      </w:pPr>
    </w:p>
    <w:p w14:paraId="1117F729">
      <w:pPr>
        <w:rPr>
          <w:rFonts w:ascii="宋体" w:hAnsi="宋体"/>
          <w:sz w:val="24"/>
        </w:rPr>
      </w:pPr>
    </w:p>
    <w:p w14:paraId="5F71A44D">
      <w:pPr>
        <w:rPr>
          <w:rFonts w:ascii="宋体" w:hAnsi="宋体"/>
          <w:sz w:val="24"/>
        </w:rPr>
      </w:pPr>
    </w:p>
    <w:p w14:paraId="25B917F5">
      <w:pPr>
        <w:rPr>
          <w:rFonts w:ascii="宋体" w:hAnsi="宋体"/>
          <w:sz w:val="24"/>
        </w:rPr>
      </w:pPr>
    </w:p>
    <w:p w14:paraId="48D8E0C1">
      <w:pPr>
        <w:rPr>
          <w:rFonts w:ascii="宋体" w:hAnsi="宋体"/>
          <w:sz w:val="24"/>
        </w:rPr>
      </w:pPr>
    </w:p>
    <w:p w14:paraId="43332248">
      <w:pPr>
        <w:rPr>
          <w:rFonts w:ascii="宋体" w:hAnsi="宋体"/>
          <w:sz w:val="24"/>
        </w:rPr>
      </w:pPr>
    </w:p>
    <w:p w14:paraId="1BB6F9A7">
      <w:pPr>
        <w:rPr>
          <w:rFonts w:ascii="宋体" w:hAnsi="宋体"/>
          <w:sz w:val="24"/>
        </w:rPr>
      </w:pPr>
    </w:p>
    <w:p w14:paraId="559438CF">
      <w:pPr>
        <w:rPr>
          <w:rFonts w:ascii="宋体" w:hAnsi="宋体"/>
          <w:sz w:val="24"/>
        </w:rPr>
      </w:pPr>
    </w:p>
    <w:p w14:paraId="32543F6E">
      <w:pPr>
        <w:rPr>
          <w:rFonts w:ascii="宋体" w:hAnsi="宋体"/>
          <w:sz w:val="24"/>
        </w:rPr>
      </w:pPr>
    </w:p>
    <w:p w14:paraId="65123DD1">
      <w:pPr>
        <w:rPr>
          <w:rFonts w:ascii="宋体" w:hAnsi="宋体"/>
          <w:sz w:val="24"/>
        </w:rPr>
      </w:pPr>
    </w:p>
    <w:bookmarkEnd w:id="0"/>
    <w:p w14:paraId="6B793EBF">
      <w:pPr>
        <w:rPr>
          <w:rFonts w:ascii="宋体" w:hAnsi="宋体"/>
          <w:color w:val="auto"/>
          <w:sz w:val="24"/>
          <w:highlight w:val="none"/>
        </w:rPr>
      </w:pPr>
    </w:p>
    <w:p w14:paraId="0E61A07B">
      <w:pPr>
        <w:rPr>
          <w:rFonts w:ascii="宋体" w:hAnsi="宋体"/>
          <w:color w:val="auto"/>
          <w:sz w:val="24"/>
          <w:highlight w:val="none"/>
        </w:rPr>
      </w:pPr>
      <w:r>
        <w:rPr>
          <w:rFonts w:hint="eastAsia" w:ascii="宋体" w:hAnsi="宋体"/>
          <w:color w:val="auto"/>
          <w:sz w:val="24"/>
          <w:highlight w:val="none"/>
        </w:rPr>
        <w:t>本合同由以下三方签署：</w:t>
      </w:r>
    </w:p>
    <w:p w14:paraId="2C685D81">
      <w:pPr>
        <w:rPr>
          <w:rFonts w:ascii="宋体" w:hAnsi="宋体"/>
          <w:color w:val="auto"/>
          <w:sz w:val="24"/>
          <w:highlight w:val="none"/>
        </w:rPr>
      </w:pPr>
    </w:p>
    <w:tbl>
      <w:tblPr>
        <w:tblStyle w:val="4"/>
        <w:tblW w:w="0" w:type="auto"/>
        <w:tblInd w:w="0" w:type="dxa"/>
        <w:tblLayout w:type="fixed"/>
        <w:tblCellMar>
          <w:top w:w="0" w:type="dxa"/>
          <w:left w:w="108" w:type="dxa"/>
          <w:bottom w:w="0" w:type="dxa"/>
          <w:right w:w="108" w:type="dxa"/>
        </w:tblCellMar>
      </w:tblPr>
      <w:tblGrid>
        <w:gridCol w:w="2452"/>
        <w:gridCol w:w="7333"/>
      </w:tblGrid>
      <w:tr w14:paraId="23A99199">
        <w:tblPrEx>
          <w:tblCellMar>
            <w:top w:w="0" w:type="dxa"/>
            <w:left w:w="108" w:type="dxa"/>
            <w:bottom w:w="0" w:type="dxa"/>
            <w:right w:w="108" w:type="dxa"/>
          </w:tblCellMar>
        </w:tblPrEx>
        <w:tc>
          <w:tcPr>
            <w:tcW w:w="2452" w:type="dxa"/>
          </w:tcPr>
          <w:p w14:paraId="77AEBEED">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甲方：</w:t>
            </w:r>
          </w:p>
        </w:tc>
        <w:tc>
          <w:tcPr>
            <w:tcW w:w="7333" w:type="dxa"/>
          </w:tcPr>
          <w:p w14:paraId="511FC226">
            <w:pPr>
              <w:spacing w:line="360" w:lineRule="auto"/>
              <w:rPr>
                <w:color w:val="auto"/>
                <w:kern w:val="0"/>
                <w:sz w:val="24"/>
                <w:highlight w:val="none"/>
              </w:rPr>
            </w:pPr>
          </w:p>
        </w:tc>
      </w:tr>
      <w:tr w14:paraId="16578EBA">
        <w:tblPrEx>
          <w:tblCellMar>
            <w:top w:w="0" w:type="dxa"/>
            <w:left w:w="108" w:type="dxa"/>
            <w:bottom w:w="0" w:type="dxa"/>
            <w:right w:w="108" w:type="dxa"/>
          </w:tblCellMar>
        </w:tblPrEx>
        <w:tc>
          <w:tcPr>
            <w:tcW w:w="2452" w:type="dxa"/>
          </w:tcPr>
          <w:p w14:paraId="41B2C7D8">
            <w:pPr>
              <w:autoSpaceDE w:val="0"/>
              <w:autoSpaceDN w:val="0"/>
              <w:adjustRightInd w:val="0"/>
              <w:spacing w:line="360" w:lineRule="auto"/>
              <w:jc w:val="left"/>
              <w:rPr>
                <w:rFonts w:hAnsi="宋体"/>
                <w:color w:val="auto"/>
                <w:kern w:val="0"/>
                <w:sz w:val="24"/>
                <w:highlight w:val="none"/>
              </w:rPr>
            </w:pPr>
            <w:r>
              <w:rPr>
                <w:rFonts w:hint="eastAsia" w:hAnsi="宋体"/>
                <w:color w:val="auto"/>
                <w:kern w:val="0"/>
                <w:sz w:val="24"/>
                <w:highlight w:val="none"/>
              </w:rPr>
              <w:t>甲方邮编：</w:t>
            </w:r>
          </w:p>
          <w:p w14:paraId="190DE298">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甲方地址：</w:t>
            </w:r>
          </w:p>
        </w:tc>
        <w:tc>
          <w:tcPr>
            <w:tcW w:w="7333" w:type="dxa"/>
          </w:tcPr>
          <w:p w14:paraId="01A338C7">
            <w:pPr>
              <w:spacing w:line="360" w:lineRule="auto"/>
              <w:rPr>
                <w:color w:val="auto"/>
                <w:kern w:val="0"/>
                <w:sz w:val="24"/>
                <w:highlight w:val="none"/>
              </w:rPr>
            </w:pPr>
            <w:r>
              <w:rPr>
                <w:rFonts w:hint="eastAsia"/>
                <w:color w:val="auto"/>
                <w:sz w:val="24"/>
                <w:highlight w:val="none"/>
              </w:rPr>
              <w:t xml:space="preserve"> </w:t>
            </w:r>
          </w:p>
        </w:tc>
      </w:tr>
      <w:tr w14:paraId="72B9D395">
        <w:tblPrEx>
          <w:tblCellMar>
            <w:top w:w="0" w:type="dxa"/>
            <w:left w:w="108" w:type="dxa"/>
            <w:bottom w:w="0" w:type="dxa"/>
            <w:right w:w="108" w:type="dxa"/>
          </w:tblCellMar>
        </w:tblPrEx>
        <w:tc>
          <w:tcPr>
            <w:tcW w:w="2452" w:type="dxa"/>
          </w:tcPr>
          <w:p w14:paraId="29020199">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甲方联系人：</w:t>
            </w:r>
          </w:p>
        </w:tc>
        <w:tc>
          <w:tcPr>
            <w:tcW w:w="7333" w:type="dxa"/>
          </w:tcPr>
          <w:p w14:paraId="568D4998">
            <w:pPr>
              <w:spacing w:line="360" w:lineRule="auto"/>
              <w:rPr>
                <w:color w:val="auto"/>
                <w:kern w:val="0"/>
                <w:sz w:val="24"/>
                <w:highlight w:val="none"/>
              </w:rPr>
            </w:pPr>
            <w:r>
              <w:rPr>
                <w:rFonts w:hint="eastAsia" w:hAnsi="宋体"/>
                <w:color w:val="auto"/>
                <w:kern w:val="0"/>
                <w:sz w:val="24"/>
                <w:highlight w:val="none"/>
              </w:rPr>
              <w:t xml:space="preserve"> </w:t>
            </w:r>
          </w:p>
        </w:tc>
      </w:tr>
      <w:tr w14:paraId="4F70D263">
        <w:tblPrEx>
          <w:tblCellMar>
            <w:top w:w="0" w:type="dxa"/>
            <w:left w:w="108" w:type="dxa"/>
            <w:bottom w:w="0" w:type="dxa"/>
            <w:right w:w="108" w:type="dxa"/>
          </w:tblCellMar>
        </w:tblPrEx>
        <w:tc>
          <w:tcPr>
            <w:tcW w:w="2452" w:type="dxa"/>
          </w:tcPr>
          <w:p w14:paraId="77DD89A8">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联系电话：</w:t>
            </w:r>
          </w:p>
        </w:tc>
        <w:tc>
          <w:tcPr>
            <w:tcW w:w="7333" w:type="dxa"/>
          </w:tcPr>
          <w:p w14:paraId="204254F5">
            <w:pPr>
              <w:spacing w:line="360" w:lineRule="auto"/>
              <w:rPr>
                <w:color w:val="auto"/>
                <w:kern w:val="0"/>
                <w:sz w:val="24"/>
                <w:highlight w:val="none"/>
              </w:rPr>
            </w:pPr>
            <w:r>
              <w:rPr>
                <w:rFonts w:hint="eastAsia" w:hAnsi="宋体"/>
                <w:color w:val="auto"/>
                <w:kern w:val="0"/>
                <w:sz w:val="24"/>
                <w:highlight w:val="none"/>
              </w:rPr>
              <w:t xml:space="preserve"> </w:t>
            </w:r>
          </w:p>
        </w:tc>
      </w:tr>
      <w:tr w14:paraId="79891FE5">
        <w:tblPrEx>
          <w:tblCellMar>
            <w:top w:w="0" w:type="dxa"/>
            <w:left w:w="108" w:type="dxa"/>
            <w:bottom w:w="0" w:type="dxa"/>
            <w:right w:w="108" w:type="dxa"/>
          </w:tblCellMar>
        </w:tblPrEx>
        <w:trPr>
          <w:trHeight w:val="903" w:hRule="atLeast"/>
        </w:trPr>
        <w:tc>
          <w:tcPr>
            <w:tcW w:w="2452" w:type="dxa"/>
          </w:tcPr>
          <w:p w14:paraId="4ECE3604">
            <w:pPr>
              <w:autoSpaceDE w:val="0"/>
              <w:autoSpaceDN w:val="0"/>
              <w:adjustRightInd w:val="0"/>
              <w:spacing w:line="480" w:lineRule="auto"/>
              <w:jc w:val="left"/>
              <w:rPr>
                <w:rFonts w:hAnsi="宋体"/>
                <w:color w:val="auto"/>
                <w:kern w:val="0"/>
                <w:sz w:val="24"/>
                <w:highlight w:val="none"/>
              </w:rPr>
            </w:pPr>
            <w:r>
              <w:rPr>
                <w:rFonts w:hint="eastAsia" w:hAnsi="宋体"/>
                <w:color w:val="auto"/>
                <w:kern w:val="0"/>
                <w:sz w:val="24"/>
                <w:highlight w:val="none"/>
              </w:rPr>
              <w:t>邮箱：</w:t>
            </w:r>
          </w:p>
        </w:tc>
        <w:tc>
          <w:tcPr>
            <w:tcW w:w="7333" w:type="dxa"/>
          </w:tcPr>
          <w:p w14:paraId="5FFD108D">
            <w:pPr>
              <w:spacing w:line="480" w:lineRule="auto"/>
              <w:rPr>
                <w:color w:val="auto"/>
                <w:sz w:val="24"/>
                <w:highlight w:val="none"/>
              </w:rPr>
            </w:pPr>
          </w:p>
        </w:tc>
      </w:tr>
      <w:tr w14:paraId="31425800">
        <w:tblPrEx>
          <w:tblCellMar>
            <w:top w:w="0" w:type="dxa"/>
            <w:left w:w="108" w:type="dxa"/>
            <w:bottom w:w="0" w:type="dxa"/>
            <w:right w:w="108" w:type="dxa"/>
          </w:tblCellMar>
        </w:tblPrEx>
        <w:tc>
          <w:tcPr>
            <w:tcW w:w="2452" w:type="dxa"/>
          </w:tcPr>
          <w:p w14:paraId="7F829E15">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乙方：</w:t>
            </w:r>
          </w:p>
        </w:tc>
        <w:tc>
          <w:tcPr>
            <w:tcW w:w="7333" w:type="dxa"/>
          </w:tcPr>
          <w:p w14:paraId="0DA8B63D">
            <w:pPr>
              <w:autoSpaceDE w:val="0"/>
              <w:autoSpaceDN w:val="0"/>
              <w:adjustRightInd w:val="0"/>
              <w:spacing w:line="360" w:lineRule="auto"/>
              <w:jc w:val="left"/>
              <w:rPr>
                <w:color w:val="auto"/>
                <w:kern w:val="0"/>
                <w:sz w:val="24"/>
                <w:highlight w:val="none"/>
              </w:rPr>
            </w:pPr>
            <w:r>
              <w:rPr>
                <w:rFonts w:hint="default" w:ascii="Times New Roman" w:hAnsi="Times New Roman" w:cs="Times New Roman"/>
                <w:color w:val="auto"/>
                <w:kern w:val="0"/>
                <w:sz w:val="24"/>
                <w:highlight w:val="none"/>
                <w:lang w:eastAsia="zh-CN"/>
              </w:rPr>
              <w:t>上海交通大学医学院附属上海儿童医学中心</w:t>
            </w:r>
            <w:r>
              <w:rPr>
                <w:rFonts w:hint="eastAsia" w:ascii="Times New Roman" w:hAnsi="Times New Roman" w:cs="Times New Roman"/>
                <w:color w:val="auto"/>
                <w:kern w:val="0"/>
                <w:sz w:val="24"/>
                <w:highlight w:val="none"/>
                <w:lang w:eastAsia="zh-CN"/>
              </w:rPr>
              <w:t>海南医院</w:t>
            </w:r>
          </w:p>
        </w:tc>
      </w:tr>
      <w:tr w14:paraId="24CD5F84">
        <w:tblPrEx>
          <w:tblCellMar>
            <w:top w:w="0" w:type="dxa"/>
            <w:left w:w="108" w:type="dxa"/>
            <w:bottom w:w="0" w:type="dxa"/>
            <w:right w:w="108" w:type="dxa"/>
          </w:tblCellMar>
        </w:tblPrEx>
        <w:trPr>
          <w:trHeight w:val="573" w:hRule="atLeast"/>
        </w:trPr>
        <w:tc>
          <w:tcPr>
            <w:tcW w:w="2452" w:type="dxa"/>
          </w:tcPr>
          <w:p w14:paraId="77287E53">
            <w:pPr>
              <w:autoSpaceDE w:val="0"/>
              <w:autoSpaceDN w:val="0"/>
              <w:adjustRightInd w:val="0"/>
              <w:spacing w:line="360" w:lineRule="auto"/>
              <w:jc w:val="left"/>
              <w:rPr>
                <w:rFonts w:hAnsi="宋体"/>
                <w:color w:val="auto"/>
                <w:kern w:val="0"/>
                <w:sz w:val="24"/>
                <w:highlight w:val="none"/>
              </w:rPr>
            </w:pPr>
            <w:r>
              <w:rPr>
                <w:rFonts w:hint="eastAsia" w:hAnsi="宋体"/>
                <w:color w:val="auto"/>
                <w:kern w:val="0"/>
                <w:sz w:val="24"/>
                <w:highlight w:val="none"/>
              </w:rPr>
              <w:t>乙方邮编：</w:t>
            </w:r>
          </w:p>
          <w:p w14:paraId="68A6DDAB">
            <w:pPr>
              <w:autoSpaceDE w:val="0"/>
              <w:autoSpaceDN w:val="0"/>
              <w:adjustRightInd w:val="0"/>
              <w:spacing w:line="360" w:lineRule="auto"/>
              <w:jc w:val="left"/>
              <w:rPr>
                <w:rFonts w:hAnsi="宋体"/>
                <w:color w:val="auto"/>
                <w:kern w:val="0"/>
                <w:sz w:val="24"/>
                <w:highlight w:val="none"/>
              </w:rPr>
            </w:pPr>
            <w:r>
              <w:rPr>
                <w:rFonts w:hint="eastAsia" w:hAnsi="宋体"/>
                <w:color w:val="auto"/>
                <w:kern w:val="0"/>
                <w:sz w:val="24"/>
                <w:highlight w:val="none"/>
              </w:rPr>
              <w:t>科室：</w:t>
            </w:r>
          </w:p>
          <w:p w14:paraId="430A7534">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乙方地址：</w:t>
            </w:r>
          </w:p>
        </w:tc>
        <w:tc>
          <w:tcPr>
            <w:tcW w:w="7333" w:type="dxa"/>
          </w:tcPr>
          <w:p w14:paraId="16822356">
            <w:pPr>
              <w:autoSpaceDE w:val="0"/>
              <w:autoSpaceDN w:val="0"/>
              <w:adjustRightInd w:val="0"/>
              <w:spacing w:line="360" w:lineRule="auto"/>
              <w:jc w:val="left"/>
              <w:rPr>
                <w:color w:val="auto"/>
                <w:kern w:val="0"/>
                <w:sz w:val="24"/>
                <w:highlight w:val="none"/>
              </w:rPr>
            </w:pPr>
          </w:p>
          <w:p w14:paraId="5AD5C153">
            <w:pPr>
              <w:autoSpaceDE w:val="0"/>
              <w:autoSpaceDN w:val="0"/>
              <w:adjustRightInd w:val="0"/>
              <w:spacing w:line="360" w:lineRule="auto"/>
              <w:jc w:val="left"/>
              <w:rPr>
                <w:color w:val="auto"/>
                <w:kern w:val="0"/>
                <w:sz w:val="24"/>
                <w:highlight w:val="none"/>
              </w:rPr>
            </w:pPr>
          </w:p>
        </w:tc>
      </w:tr>
      <w:tr w14:paraId="360C34EB">
        <w:tblPrEx>
          <w:tblCellMar>
            <w:top w:w="0" w:type="dxa"/>
            <w:left w:w="108" w:type="dxa"/>
            <w:bottom w:w="0" w:type="dxa"/>
            <w:right w:w="108" w:type="dxa"/>
          </w:tblCellMar>
        </w:tblPrEx>
        <w:tc>
          <w:tcPr>
            <w:tcW w:w="2452" w:type="dxa"/>
          </w:tcPr>
          <w:p w14:paraId="64445171">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主要研究者：</w:t>
            </w:r>
          </w:p>
        </w:tc>
        <w:tc>
          <w:tcPr>
            <w:tcW w:w="7333" w:type="dxa"/>
          </w:tcPr>
          <w:p w14:paraId="1F7FF975">
            <w:pPr>
              <w:autoSpaceDE w:val="0"/>
              <w:autoSpaceDN w:val="0"/>
              <w:adjustRightInd w:val="0"/>
              <w:spacing w:line="360" w:lineRule="auto"/>
              <w:jc w:val="left"/>
              <w:rPr>
                <w:rFonts w:hint="default" w:eastAsia="宋体"/>
                <w:color w:val="auto"/>
                <w:kern w:val="0"/>
                <w:sz w:val="24"/>
                <w:highlight w:val="none"/>
                <w:lang w:val="en-US" w:eastAsia="zh-CN"/>
              </w:rPr>
            </w:pPr>
            <w:r>
              <w:rPr>
                <w:rFonts w:hint="eastAsia"/>
                <w:color w:val="auto"/>
                <w:kern w:val="0"/>
                <w:sz w:val="24"/>
                <w:highlight w:val="none"/>
                <w:lang w:val="en-US" w:eastAsia="zh-CN"/>
              </w:rPr>
              <w:t xml:space="preserve">                            </w:t>
            </w:r>
            <w:r>
              <w:rPr>
                <w:rFonts w:hint="eastAsia" w:hAnsi="宋体"/>
                <w:color w:val="auto"/>
                <w:kern w:val="0"/>
                <w:sz w:val="24"/>
                <w:highlight w:val="none"/>
                <w:lang w:val="en-US" w:eastAsia="zh-CN"/>
              </w:rPr>
              <w:t>机构主任</w:t>
            </w:r>
            <w:r>
              <w:rPr>
                <w:rFonts w:hint="eastAsia" w:hAnsi="宋体"/>
                <w:color w:val="auto"/>
                <w:kern w:val="0"/>
                <w:sz w:val="24"/>
                <w:highlight w:val="none"/>
              </w:rPr>
              <w:t>：</w:t>
            </w:r>
          </w:p>
        </w:tc>
      </w:tr>
      <w:tr w14:paraId="30837155">
        <w:tblPrEx>
          <w:tblCellMar>
            <w:top w:w="0" w:type="dxa"/>
            <w:left w:w="108" w:type="dxa"/>
            <w:bottom w:w="0" w:type="dxa"/>
            <w:right w:w="108" w:type="dxa"/>
          </w:tblCellMar>
        </w:tblPrEx>
        <w:tc>
          <w:tcPr>
            <w:tcW w:w="2452" w:type="dxa"/>
          </w:tcPr>
          <w:p w14:paraId="68494F09">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联系电话：</w:t>
            </w:r>
          </w:p>
        </w:tc>
        <w:tc>
          <w:tcPr>
            <w:tcW w:w="7333" w:type="dxa"/>
          </w:tcPr>
          <w:p w14:paraId="11BEEB80">
            <w:pPr>
              <w:spacing w:line="360" w:lineRule="auto"/>
              <w:rPr>
                <w:rFonts w:hint="default" w:eastAsia="宋体"/>
                <w:color w:val="auto"/>
                <w:kern w:val="0"/>
                <w:sz w:val="24"/>
                <w:highlight w:val="none"/>
                <w:lang w:val="en-US" w:eastAsia="zh-CN"/>
              </w:rPr>
            </w:pPr>
            <w:r>
              <w:rPr>
                <w:rFonts w:hint="eastAsia" w:hAnsi="宋体"/>
                <w:color w:val="auto"/>
                <w:kern w:val="0"/>
                <w:sz w:val="24"/>
                <w:highlight w:val="none"/>
              </w:rPr>
              <w:t xml:space="preserve"> </w:t>
            </w:r>
            <w:r>
              <w:rPr>
                <w:rFonts w:hint="eastAsia" w:hAnsi="宋体"/>
                <w:color w:val="auto"/>
                <w:kern w:val="0"/>
                <w:sz w:val="24"/>
                <w:highlight w:val="none"/>
                <w:lang w:val="en-US" w:eastAsia="zh-CN"/>
              </w:rPr>
              <w:t xml:space="preserve">                           </w:t>
            </w:r>
            <w:r>
              <w:rPr>
                <w:rFonts w:hint="eastAsia" w:hAnsi="宋体"/>
                <w:color w:val="auto"/>
                <w:kern w:val="0"/>
                <w:sz w:val="24"/>
                <w:highlight w:val="none"/>
              </w:rPr>
              <w:t>联系电话：</w:t>
            </w:r>
          </w:p>
        </w:tc>
      </w:tr>
      <w:tr w14:paraId="0345A216">
        <w:tblPrEx>
          <w:tblCellMar>
            <w:top w:w="0" w:type="dxa"/>
            <w:left w:w="108" w:type="dxa"/>
            <w:bottom w:w="0" w:type="dxa"/>
            <w:right w:w="108" w:type="dxa"/>
          </w:tblCellMar>
        </w:tblPrEx>
        <w:trPr>
          <w:trHeight w:val="1059" w:hRule="atLeast"/>
        </w:trPr>
        <w:tc>
          <w:tcPr>
            <w:tcW w:w="2452" w:type="dxa"/>
          </w:tcPr>
          <w:p w14:paraId="11B381A7">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邮箱：</w:t>
            </w:r>
          </w:p>
        </w:tc>
        <w:tc>
          <w:tcPr>
            <w:tcW w:w="7333" w:type="dxa"/>
          </w:tcPr>
          <w:p w14:paraId="61342BAC">
            <w:pPr>
              <w:spacing w:line="360" w:lineRule="auto"/>
              <w:rPr>
                <w:rFonts w:hint="default" w:eastAsia="宋体"/>
                <w:color w:val="auto"/>
                <w:highlight w:val="none"/>
                <w:lang w:val="en-US" w:eastAsia="zh-CN"/>
              </w:rPr>
            </w:pPr>
            <w:r>
              <w:rPr>
                <w:rFonts w:hint="eastAsia"/>
                <w:color w:val="auto"/>
                <w:kern w:val="0"/>
                <w:sz w:val="24"/>
                <w:highlight w:val="none"/>
              </w:rPr>
              <w:t xml:space="preserve"> </w:t>
            </w:r>
            <w:r>
              <w:rPr>
                <w:rFonts w:hint="eastAsia"/>
                <w:color w:val="auto"/>
                <w:kern w:val="0"/>
                <w:sz w:val="24"/>
                <w:highlight w:val="none"/>
                <w:lang w:val="en-US" w:eastAsia="zh-CN"/>
              </w:rPr>
              <w:t xml:space="preserve">                           </w:t>
            </w:r>
            <w:r>
              <w:rPr>
                <w:rFonts w:hint="eastAsia" w:hAnsi="宋体"/>
                <w:color w:val="auto"/>
                <w:kern w:val="0"/>
                <w:sz w:val="24"/>
                <w:highlight w:val="none"/>
              </w:rPr>
              <w:t>邮箱：</w:t>
            </w:r>
          </w:p>
        </w:tc>
      </w:tr>
      <w:tr w14:paraId="1D0F323F">
        <w:tblPrEx>
          <w:tblCellMar>
            <w:top w:w="0" w:type="dxa"/>
            <w:left w:w="108" w:type="dxa"/>
            <w:bottom w:w="0" w:type="dxa"/>
            <w:right w:w="108" w:type="dxa"/>
          </w:tblCellMar>
        </w:tblPrEx>
        <w:trPr>
          <w:trHeight w:val="90" w:hRule="atLeast"/>
        </w:trPr>
        <w:tc>
          <w:tcPr>
            <w:tcW w:w="2452" w:type="dxa"/>
          </w:tcPr>
          <w:p w14:paraId="1C3B6BDE">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丙方：</w:t>
            </w:r>
          </w:p>
        </w:tc>
        <w:tc>
          <w:tcPr>
            <w:tcW w:w="7333" w:type="dxa"/>
          </w:tcPr>
          <w:p w14:paraId="514C86CA">
            <w:pPr>
              <w:spacing w:line="360" w:lineRule="auto"/>
              <w:rPr>
                <w:color w:val="auto"/>
                <w:kern w:val="0"/>
                <w:sz w:val="24"/>
                <w:highlight w:val="none"/>
              </w:rPr>
            </w:pPr>
          </w:p>
        </w:tc>
      </w:tr>
      <w:tr w14:paraId="6D8C1F71">
        <w:tblPrEx>
          <w:tblCellMar>
            <w:top w:w="0" w:type="dxa"/>
            <w:left w:w="108" w:type="dxa"/>
            <w:bottom w:w="0" w:type="dxa"/>
            <w:right w:w="108" w:type="dxa"/>
          </w:tblCellMar>
        </w:tblPrEx>
        <w:tc>
          <w:tcPr>
            <w:tcW w:w="2452" w:type="dxa"/>
          </w:tcPr>
          <w:p w14:paraId="41F344BC">
            <w:pPr>
              <w:autoSpaceDE w:val="0"/>
              <w:autoSpaceDN w:val="0"/>
              <w:adjustRightInd w:val="0"/>
              <w:spacing w:line="360" w:lineRule="auto"/>
              <w:jc w:val="left"/>
              <w:rPr>
                <w:rFonts w:hAnsi="宋体"/>
                <w:color w:val="auto"/>
                <w:kern w:val="0"/>
                <w:sz w:val="24"/>
                <w:highlight w:val="none"/>
              </w:rPr>
            </w:pPr>
            <w:r>
              <w:rPr>
                <w:rFonts w:hint="eastAsia" w:hAnsi="宋体"/>
                <w:color w:val="auto"/>
                <w:kern w:val="0"/>
                <w:sz w:val="24"/>
                <w:highlight w:val="none"/>
              </w:rPr>
              <w:t>丙方邮编：</w:t>
            </w:r>
          </w:p>
          <w:p w14:paraId="6400BD20">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丙方地址：</w:t>
            </w:r>
          </w:p>
        </w:tc>
        <w:tc>
          <w:tcPr>
            <w:tcW w:w="7333" w:type="dxa"/>
          </w:tcPr>
          <w:p w14:paraId="1B895893">
            <w:pPr>
              <w:spacing w:line="360" w:lineRule="auto"/>
              <w:rPr>
                <w:color w:val="auto"/>
                <w:kern w:val="0"/>
                <w:sz w:val="24"/>
                <w:highlight w:val="none"/>
              </w:rPr>
            </w:pPr>
            <w:r>
              <w:rPr>
                <w:rFonts w:hint="eastAsia"/>
                <w:color w:val="auto"/>
                <w:sz w:val="24"/>
                <w:highlight w:val="none"/>
              </w:rPr>
              <w:t xml:space="preserve"> </w:t>
            </w:r>
          </w:p>
        </w:tc>
      </w:tr>
      <w:tr w14:paraId="3F27E782">
        <w:tblPrEx>
          <w:tblCellMar>
            <w:top w:w="0" w:type="dxa"/>
            <w:left w:w="108" w:type="dxa"/>
            <w:bottom w:w="0" w:type="dxa"/>
            <w:right w:w="108" w:type="dxa"/>
          </w:tblCellMar>
        </w:tblPrEx>
        <w:tc>
          <w:tcPr>
            <w:tcW w:w="2452" w:type="dxa"/>
          </w:tcPr>
          <w:p w14:paraId="7DC0C192">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丙方联系人：</w:t>
            </w:r>
          </w:p>
        </w:tc>
        <w:tc>
          <w:tcPr>
            <w:tcW w:w="7333" w:type="dxa"/>
          </w:tcPr>
          <w:p w14:paraId="1F8CA8B4">
            <w:pPr>
              <w:spacing w:line="360" w:lineRule="auto"/>
              <w:rPr>
                <w:color w:val="auto"/>
                <w:kern w:val="0"/>
                <w:sz w:val="24"/>
                <w:highlight w:val="none"/>
              </w:rPr>
            </w:pPr>
            <w:r>
              <w:rPr>
                <w:rFonts w:hint="eastAsia" w:hAnsi="宋体"/>
                <w:color w:val="auto"/>
                <w:kern w:val="0"/>
                <w:sz w:val="24"/>
                <w:highlight w:val="none"/>
              </w:rPr>
              <w:t xml:space="preserve"> </w:t>
            </w:r>
          </w:p>
        </w:tc>
      </w:tr>
      <w:tr w14:paraId="72C69C9C">
        <w:tblPrEx>
          <w:tblCellMar>
            <w:top w:w="0" w:type="dxa"/>
            <w:left w:w="108" w:type="dxa"/>
            <w:bottom w:w="0" w:type="dxa"/>
            <w:right w:w="108" w:type="dxa"/>
          </w:tblCellMar>
        </w:tblPrEx>
        <w:tc>
          <w:tcPr>
            <w:tcW w:w="2452" w:type="dxa"/>
          </w:tcPr>
          <w:p w14:paraId="29068B9C">
            <w:pPr>
              <w:autoSpaceDE w:val="0"/>
              <w:autoSpaceDN w:val="0"/>
              <w:adjustRightInd w:val="0"/>
              <w:spacing w:line="360" w:lineRule="auto"/>
              <w:jc w:val="left"/>
              <w:rPr>
                <w:color w:val="auto"/>
                <w:kern w:val="0"/>
                <w:sz w:val="24"/>
                <w:highlight w:val="none"/>
              </w:rPr>
            </w:pPr>
            <w:r>
              <w:rPr>
                <w:rFonts w:hint="eastAsia" w:hAnsi="宋体"/>
                <w:color w:val="auto"/>
                <w:kern w:val="0"/>
                <w:sz w:val="24"/>
                <w:highlight w:val="none"/>
              </w:rPr>
              <w:t>联系电话：</w:t>
            </w:r>
          </w:p>
        </w:tc>
        <w:tc>
          <w:tcPr>
            <w:tcW w:w="7333" w:type="dxa"/>
          </w:tcPr>
          <w:p w14:paraId="4A3A12F1">
            <w:pPr>
              <w:spacing w:line="360" w:lineRule="auto"/>
              <w:rPr>
                <w:color w:val="auto"/>
                <w:kern w:val="0"/>
                <w:sz w:val="24"/>
                <w:highlight w:val="none"/>
              </w:rPr>
            </w:pPr>
            <w:r>
              <w:rPr>
                <w:rFonts w:hint="eastAsia" w:hAnsi="宋体"/>
                <w:color w:val="auto"/>
                <w:kern w:val="0"/>
                <w:sz w:val="24"/>
                <w:highlight w:val="none"/>
              </w:rPr>
              <w:t xml:space="preserve"> </w:t>
            </w:r>
          </w:p>
        </w:tc>
      </w:tr>
    </w:tbl>
    <w:p w14:paraId="61FE505A">
      <w:pPr>
        <w:rPr>
          <w:rFonts w:ascii="宋体" w:hAnsi="宋体"/>
          <w:color w:val="auto"/>
          <w:sz w:val="24"/>
          <w:highlight w:val="none"/>
        </w:rPr>
      </w:pPr>
    </w:p>
    <w:p w14:paraId="42FFE755">
      <w:pPr>
        <w:autoSpaceDE w:val="0"/>
        <w:autoSpaceDN w:val="0"/>
        <w:spacing w:line="360" w:lineRule="auto"/>
        <w:rPr>
          <w:rFonts w:ascii="宋体" w:hAnsi="宋体"/>
          <w:color w:val="auto"/>
          <w:sz w:val="24"/>
          <w:highlight w:val="none"/>
        </w:rPr>
      </w:pPr>
    </w:p>
    <w:p w14:paraId="7672856C">
      <w:pPr>
        <w:autoSpaceDE w:val="0"/>
        <w:autoSpaceDN w:val="0"/>
        <w:spacing w:line="360" w:lineRule="auto"/>
        <w:ind w:firstLine="480" w:firstLineChars="200"/>
        <w:rPr>
          <w:rFonts w:ascii="宋体" w:hAnsi="宋体"/>
          <w:color w:val="auto"/>
          <w:sz w:val="24"/>
          <w:highlight w:val="none"/>
        </w:rPr>
      </w:pPr>
    </w:p>
    <w:p w14:paraId="5ED71E6F">
      <w:pPr>
        <w:autoSpaceDE w:val="0"/>
        <w:autoSpaceDN w:val="0"/>
        <w:spacing w:line="360" w:lineRule="auto"/>
        <w:ind w:firstLine="480" w:firstLineChars="200"/>
        <w:rPr>
          <w:rFonts w:ascii="宋体" w:hAnsi="宋体"/>
          <w:color w:val="auto"/>
          <w:sz w:val="24"/>
          <w:highlight w:val="none"/>
        </w:rPr>
      </w:pPr>
    </w:p>
    <w:p w14:paraId="5E3E55A3">
      <w:pPr>
        <w:autoSpaceDE w:val="0"/>
        <w:autoSpaceDN w:val="0"/>
        <w:spacing w:line="360" w:lineRule="auto"/>
        <w:ind w:firstLine="480" w:firstLineChars="200"/>
        <w:rPr>
          <w:rFonts w:ascii="宋体" w:hAnsi="宋体"/>
          <w:color w:val="auto"/>
          <w:sz w:val="24"/>
          <w:highlight w:val="none"/>
        </w:rPr>
      </w:pPr>
    </w:p>
    <w:p w14:paraId="1582A40A">
      <w:pPr>
        <w:autoSpaceDE w:val="0"/>
        <w:autoSpaceDN w:val="0"/>
        <w:spacing w:line="360" w:lineRule="auto"/>
        <w:ind w:firstLine="480" w:firstLineChars="200"/>
        <w:rPr>
          <w:rFonts w:ascii="宋体" w:hAnsi="宋体"/>
          <w:color w:val="auto"/>
          <w:sz w:val="24"/>
          <w:highlight w:val="none"/>
        </w:rPr>
      </w:pPr>
    </w:p>
    <w:p w14:paraId="574B8C0A">
      <w:pPr>
        <w:autoSpaceDE w:val="0"/>
        <w:autoSpaceDN w:val="0"/>
        <w:spacing w:line="360" w:lineRule="auto"/>
        <w:ind w:firstLine="480" w:firstLineChars="200"/>
        <w:rPr>
          <w:rFonts w:ascii="宋体" w:hAnsi="宋体"/>
          <w:color w:val="auto"/>
          <w:sz w:val="24"/>
          <w:highlight w:val="none"/>
        </w:rPr>
      </w:pPr>
    </w:p>
    <w:p w14:paraId="085C3B51">
      <w:pPr>
        <w:autoSpaceDE w:val="0"/>
        <w:autoSpaceDN w:val="0"/>
        <w:spacing w:line="360" w:lineRule="auto"/>
        <w:rPr>
          <w:rFonts w:ascii="宋体" w:hAnsi="宋体"/>
          <w:color w:val="auto"/>
          <w:sz w:val="24"/>
          <w:highlight w:val="none"/>
        </w:rPr>
      </w:pPr>
    </w:p>
    <w:p w14:paraId="4C4163B0">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依据《中华人民共和国民法典》、《药品注册管理办法》、《药物临床试验质量管理规范》及其他相关法律法规的规定，</w:t>
      </w:r>
      <w:r>
        <w:rPr>
          <w:rFonts w:ascii="宋体" w:hAnsi="宋体"/>
          <w:color w:val="auto"/>
          <w:sz w:val="24"/>
          <w:highlight w:val="none"/>
        </w:rPr>
        <w:t>在取得</w:t>
      </w:r>
      <w:r>
        <w:rPr>
          <w:rFonts w:hint="eastAsia" w:ascii="宋体" w:hAnsi="宋体"/>
          <w:color w:val="auto"/>
          <w:sz w:val="24"/>
          <w:highlight w:val="none"/>
        </w:rPr>
        <w:t>研究单位</w:t>
      </w:r>
      <w:r>
        <w:rPr>
          <w:rFonts w:ascii="宋体" w:hAnsi="宋体"/>
          <w:color w:val="auto"/>
          <w:sz w:val="24"/>
          <w:highlight w:val="none"/>
        </w:rPr>
        <w:t>伦理委员会审查同意的基础上，</w:t>
      </w:r>
      <w:r>
        <w:rPr>
          <w:rFonts w:hint="eastAsia" w:ascii="宋体" w:hAnsi="宋体"/>
          <w:color w:val="auto"/>
          <w:sz w:val="24"/>
          <w:highlight w:val="none"/>
        </w:rPr>
        <w:t>各方对试验中涉及的主要条款达成如下合同（以下简称“本合同”），</w:t>
      </w:r>
      <w:r>
        <w:rPr>
          <w:rFonts w:ascii="宋体" w:hAnsi="宋体"/>
          <w:color w:val="auto"/>
          <w:sz w:val="24"/>
          <w:highlight w:val="none"/>
        </w:rPr>
        <w:t>供</w:t>
      </w:r>
      <w:r>
        <w:rPr>
          <w:rFonts w:hint="eastAsia" w:ascii="宋体" w:hAnsi="宋体"/>
          <w:color w:val="auto"/>
          <w:sz w:val="24"/>
          <w:highlight w:val="none"/>
        </w:rPr>
        <w:t>各</w:t>
      </w:r>
      <w:r>
        <w:rPr>
          <w:rFonts w:ascii="宋体" w:hAnsi="宋体"/>
          <w:color w:val="auto"/>
          <w:sz w:val="24"/>
          <w:highlight w:val="none"/>
        </w:rPr>
        <w:t xml:space="preserve">方共同遵照履行。 </w:t>
      </w:r>
    </w:p>
    <w:p w14:paraId="08F3B162">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一、合作方式、内容和期限</w:t>
      </w:r>
    </w:p>
    <w:p w14:paraId="44E4B7A7">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（一）合作方式、</w:t>
      </w:r>
      <w:r>
        <w:rPr>
          <w:rFonts w:ascii="宋体" w:hAnsi="宋体"/>
          <w:color w:val="auto"/>
          <w:sz w:val="24"/>
          <w:highlight w:val="none"/>
        </w:rPr>
        <w:t>内容：</w:t>
      </w:r>
      <w:r>
        <w:rPr>
          <w:rFonts w:hint="eastAsia" w:ascii="宋体" w:hAnsi="宋体"/>
          <w:color w:val="auto"/>
          <w:sz w:val="24"/>
          <w:highlight w:val="none"/>
        </w:rPr>
        <w:t>根据原国家药品监督管理总局第***号临床试验批件（或国家药品监督管理局第***号临床试验通知书或其它相关部门***批件），甲方委托乙方对***试验用药进行***期临床试验。试验名称为：</w:t>
      </w:r>
      <w:r>
        <w:rPr>
          <w:rFonts w:hint="eastAsia" w:ascii="宋体" w:hAnsi="宋体"/>
          <w:color w:val="auto"/>
          <w:sz w:val="24"/>
          <w:highlight w:val="none"/>
          <w:u w:val="single"/>
        </w:rPr>
        <w:t>*******。</w:t>
      </w:r>
      <w:r>
        <w:rPr>
          <w:rFonts w:hint="eastAsia" w:ascii="宋体" w:hAnsi="宋体"/>
          <w:color w:val="auto"/>
          <w:sz w:val="24"/>
          <w:highlight w:val="none"/>
        </w:rPr>
        <w:t>本临床试验计划入组</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*例</w:t>
      </w:r>
      <w:r>
        <w:rPr>
          <w:rFonts w:hint="eastAsia" w:ascii="宋体" w:hAnsi="宋体"/>
          <w:color w:val="auto"/>
          <w:sz w:val="24"/>
          <w:highlight w:val="none"/>
        </w:rPr>
        <w:t>受试者，乙方计划完成***例。本临床试验计划在**</w:t>
      </w:r>
      <w:r>
        <w:rPr>
          <w:rFonts w:ascii="宋体" w:hAnsi="宋体"/>
          <w:color w:val="auto"/>
          <w:sz w:val="24"/>
          <w:highlight w:val="none"/>
        </w:rPr>
        <w:t>年</w:t>
      </w:r>
      <w:r>
        <w:rPr>
          <w:rFonts w:hint="eastAsia" w:ascii="宋体" w:hAnsi="宋体"/>
          <w:color w:val="auto"/>
          <w:sz w:val="24"/>
          <w:highlight w:val="none"/>
        </w:rPr>
        <w:t>**</w:t>
      </w:r>
      <w:r>
        <w:rPr>
          <w:rFonts w:ascii="宋体" w:hAnsi="宋体"/>
          <w:color w:val="auto"/>
          <w:sz w:val="24"/>
          <w:highlight w:val="none"/>
        </w:rPr>
        <w:t>月前完成全部病例入组</w:t>
      </w:r>
      <w:r>
        <w:rPr>
          <w:rFonts w:hint="eastAsia" w:ascii="宋体" w:hAnsi="宋体"/>
          <w:color w:val="auto"/>
          <w:sz w:val="24"/>
          <w:highlight w:val="none"/>
        </w:rPr>
        <w:t>。</w:t>
      </w:r>
      <w:r>
        <w:rPr>
          <w:rFonts w:ascii="宋体" w:hAnsi="宋体"/>
          <w:color w:val="auto"/>
          <w:sz w:val="24"/>
          <w:highlight w:val="none"/>
        </w:rPr>
        <w:t>最终</w:t>
      </w:r>
      <w:r>
        <w:rPr>
          <w:rFonts w:hint="eastAsia" w:ascii="宋体" w:hAnsi="宋体"/>
          <w:color w:val="auto"/>
          <w:sz w:val="24"/>
          <w:highlight w:val="none"/>
        </w:rPr>
        <w:t>合作的</w:t>
      </w:r>
      <w:r>
        <w:rPr>
          <w:rFonts w:ascii="宋体" w:hAnsi="宋体"/>
          <w:color w:val="auto"/>
          <w:sz w:val="24"/>
          <w:highlight w:val="none"/>
        </w:rPr>
        <w:t>具体内容以</w:t>
      </w:r>
      <w:r>
        <w:rPr>
          <w:rFonts w:hint="eastAsia" w:ascii="宋体" w:hAnsi="宋体"/>
          <w:color w:val="auto"/>
          <w:sz w:val="24"/>
          <w:highlight w:val="none"/>
        </w:rPr>
        <w:t>各</w:t>
      </w:r>
      <w:r>
        <w:rPr>
          <w:rFonts w:ascii="宋体" w:hAnsi="宋体"/>
          <w:color w:val="auto"/>
          <w:sz w:val="24"/>
          <w:highlight w:val="none"/>
        </w:rPr>
        <w:t>方认可的试验方案为准。</w:t>
      </w:r>
    </w:p>
    <w:p w14:paraId="3B744674">
      <w:pPr>
        <w:spacing w:line="360" w:lineRule="auto"/>
        <w:ind w:firstLine="241" w:firstLineChars="100"/>
        <w:rPr>
          <w:rFonts w:ascii="宋体" w:hAnsi="宋体"/>
          <w:color w:val="auto"/>
          <w:sz w:val="24"/>
          <w:highlight w:val="none"/>
        </w:rPr>
      </w:pPr>
      <w:r>
        <w:rPr>
          <w:rFonts w:hint="eastAsia" w:ascii="宋体" w:hAnsi="宋体"/>
          <w:b/>
          <w:bCs/>
          <w:i/>
          <w:iCs/>
          <w:color w:val="auto"/>
          <w:sz w:val="24"/>
          <w:highlight w:val="none"/>
        </w:rPr>
        <w:t>【说明：</w:t>
      </w:r>
      <w:r>
        <w:rPr>
          <w:rFonts w:cs="Calibri"/>
          <w:b/>
          <w:bCs/>
          <w:i/>
          <w:iCs/>
          <w:color w:val="auto"/>
          <w:sz w:val="24"/>
          <w:highlight w:val="none"/>
        </w:rPr>
        <w:t>①</w:t>
      </w:r>
      <w:r>
        <w:rPr>
          <w:rFonts w:hint="eastAsia" w:ascii="宋体" w:hAnsi="宋体"/>
          <w:b/>
          <w:bCs/>
          <w:i/>
          <w:iCs/>
          <w:color w:val="auto"/>
          <w:sz w:val="24"/>
          <w:highlight w:val="none"/>
        </w:rPr>
        <w:t>与第二条“甲方的责任和义务：甲方应向乙方提供临床试验方案、研究者手册、临床试验资料综述、国家药品监督管理局的临床批件（或国家药品监督管理局临床试验通知书）及乙方管理部门和伦理委员会要求的其他相关资料，并对所提供资料的真实性和合法性负责。”这两个条款内容根据项目实际获得批件或通知书的情况填写，前后统一。不适用的内容直接删除。</w:t>
      </w:r>
      <w:r>
        <w:rPr>
          <w:rFonts w:cs="Calibri"/>
          <w:b/>
          <w:bCs/>
          <w:color w:val="auto"/>
          <w:sz w:val="24"/>
          <w:highlight w:val="none"/>
        </w:rPr>
        <w:t>②</w:t>
      </w:r>
      <w:r>
        <w:rPr>
          <w:rFonts w:hint="eastAsia" w:ascii="宋体" w:hAnsi="宋体"/>
          <w:b/>
          <w:bCs/>
          <w:i/>
          <w:color w:val="auto"/>
          <w:sz w:val="24"/>
          <w:highlight w:val="none"/>
        </w:rPr>
        <w:t>请填写完整的项目名称</w:t>
      </w:r>
      <w:r>
        <w:rPr>
          <w:rFonts w:hint="eastAsia" w:ascii="宋体" w:hAnsi="宋体"/>
          <w:b/>
          <w:bCs/>
          <w:i/>
          <w:iCs/>
          <w:color w:val="auto"/>
          <w:sz w:val="24"/>
          <w:highlight w:val="none"/>
        </w:rPr>
        <w:t>】</w:t>
      </w:r>
      <w:r>
        <w:rPr>
          <w:rFonts w:hint="eastAsia" w:ascii="宋体" w:hAnsi="宋体"/>
          <w:b/>
          <w:bCs/>
          <w:i/>
          <w:color w:val="auto"/>
          <w:sz w:val="24"/>
          <w:highlight w:val="none"/>
        </w:rPr>
        <w:t>。</w:t>
      </w:r>
    </w:p>
    <w:p w14:paraId="718B725D">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（二）合作期限</w:t>
      </w:r>
      <w:r>
        <w:rPr>
          <w:rFonts w:ascii="宋体" w:hAnsi="宋体"/>
          <w:color w:val="auto"/>
          <w:sz w:val="24"/>
          <w:highlight w:val="none"/>
        </w:rPr>
        <w:t>：</w:t>
      </w:r>
    </w:p>
    <w:p w14:paraId="3DBC6C8C">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本合同自最后一方签订之日起生效，至项目结束时终止。</w:t>
      </w:r>
    </w:p>
    <w:p w14:paraId="09B1576A">
      <w:pPr>
        <w:autoSpaceDE w:val="0"/>
        <w:autoSpaceDN w:val="0"/>
        <w:spacing w:line="360" w:lineRule="auto"/>
        <w:ind w:firstLine="480" w:firstLineChars="200"/>
        <w:rPr>
          <w:rFonts w:ascii="宋体" w:hAnsi="宋体"/>
          <w:color w:val="auto"/>
          <w:sz w:val="24"/>
          <w:highlight w:val="none"/>
        </w:rPr>
      </w:pPr>
      <w:r>
        <w:rPr>
          <w:rFonts w:ascii="宋体" w:hAnsi="宋体"/>
          <w:color w:val="auto"/>
          <w:sz w:val="24"/>
          <w:highlight w:val="none"/>
        </w:rPr>
        <w:t>2.如因不可抗力、国家法律政策变化等原因造成本合同不能如期履行的，经</w:t>
      </w:r>
      <w:r>
        <w:rPr>
          <w:rFonts w:hint="eastAsia" w:ascii="宋体" w:hAnsi="宋体"/>
          <w:color w:val="auto"/>
          <w:sz w:val="24"/>
          <w:highlight w:val="none"/>
          <w:lang w:val="en-US" w:eastAsia="zh-CN"/>
        </w:rPr>
        <w:t>三方</w:t>
      </w:r>
      <w:r>
        <w:rPr>
          <w:rFonts w:ascii="宋体" w:hAnsi="宋体"/>
          <w:color w:val="auto"/>
          <w:sz w:val="24"/>
          <w:highlight w:val="none"/>
        </w:rPr>
        <w:t>书面确认后可以延期。一方不同意延期的，</w:t>
      </w:r>
      <w:r>
        <w:rPr>
          <w:rFonts w:hint="eastAsia" w:ascii="宋体" w:hAnsi="宋体"/>
          <w:color w:val="auto"/>
          <w:sz w:val="24"/>
          <w:highlight w:val="none"/>
          <w:lang w:val="en-US" w:eastAsia="zh-CN"/>
        </w:rPr>
        <w:t>三</w:t>
      </w:r>
      <w:r>
        <w:rPr>
          <w:rFonts w:ascii="宋体" w:hAnsi="宋体"/>
          <w:color w:val="auto"/>
          <w:sz w:val="24"/>
          <w:highlight w:val="none"/>
        </w:rPr>
        <w:t>方应当解除合同；解除合同时，乙方应返还</w:t>
      </w:r>
      <w:r>
        <w:rPr>
          <w:rFonts w:hint="eastAsia" w:ascii="宋体" w:hAnsi="宋体"/>
          <w:color w:val="auto"/>
          <w:sz w:val="24"/>
          <w:highlight w:val="none"/>
          <w:lang w:val="en-US" w:eastAsia="zh-CN"/>
        </w:rPr>
        <w:t>丙</w:t>
      </w:r>
      <w:r>
        <w:rPr>
          <w:rFonts w:ascii="宋体" w:hAnsi="宋体"/>
          <w:color w:val="auto"/>
          <w:sz w:val="24"/>
          <w:highlight w:val="none"/>
        </w:rPr>
        <w:t>方已经支付的款项，但乙方可在该款项内扣除</w:t>
      </w:r>
      <w:r>
        <w:rPr>
          <w:rFonts w:hint="eastAsia" w:ascii="宋体" w:hAnsi="宋体"/>
          <w:color w:val="auto"/>
          <w:sz w:val="24"/>
          <w:highlight w:val="none"/>
        </w:rPr>
        <w:t>因临床试验</w:t>
      </w:r>
      <w:r>
        <w:rPr>
          <w:rFonts w:ascii="宋体" w:hAnsi="宋体"/>
          <w:color w:val="auto"/>
          <w:sz w:val="24"/>
          <w:highlight w:val="none"/>
        </w:rPr>
        <w:t>而支出的合理而必要的费用。</w:t>
      </w:r>
    </w:p>
    <w:p w14:paraId="02249D1E">
      <w:pPr>
        <w:autoSpaceDE w:val="0"/>
        <w:autoSpaceDN w:val="0"/>
        <w:spacing w:line="360" w:lineRule="auto"/>
        <w:ind w:firstLine="480" w:firstLineChars="200"/>
        <w:rPr>
          <w:rFonts w:ascii="宋体" w:hAnsi="宋体"/>
          <w:color w:val="auto"/>
          <w:sz w:val="24"/>
          <w:highlight w:val="none"/>
        </w:rPr>
      </w:pPr>
      <w:r>
        <w:rPr>
          <w:rFonts w:ascii="宋体" w:hAnsi="宋体"/>
          <w:color w:val="auto"/>
          <w:sz w:val="24"/>
          <w:highlight w:val="none"/>
        </w:rPr>
        <w:t>3.在本合同执行期间，若任何一方计划提前终止本合同，需要</w:t>
      </w:r>
      <w:r>
        <w:rPr>
          <w:rFonts w:hint="eastAsia" w:ascii="宋体" w:hAnsi="宋体"/>
          <w:color w:val="auto"/>
          <w:sz w:val="24"/>
          <w:highlight w:val="none"/>
        </w:rPr>
        <w:t>阐明理由并</w:t>
      </w:r>
      <w:r>
        <w:rPr>
          <w:rFonts w:ascii="宋体" w:hAnsi="宋体"/>
          <w:color w:val="auto"/>
          <w:sz w:val="24"/>
          <w:highlight w:val="none"/>
        </w:rPr>
        <w:t>至少提前</w:t>
      </w:r>
      <w:r>
        <w:rPr>
          <w:rFonts w:hint="eastAsia" w:ascii="宋体" w:hAnsi="宋体"/>
          <w:color w:val="auto"/>
          <w:sz w:val="24"/>
          <w:highlight w:val="none"/>
        </w:rPr>
        <w:t>30</w:t>
      </w:r>
      <w:r>
        <w:rPr>
          <w:rFonts w:ascii="宋体" w:hAnsi="宋体"/>
          <w:color w:val="auto"/>
          <w:sz w:val="24"/>
          <w:highlight w:val="none"/>
        </w:rPr>
        <w:t>个工作日通知另</w:t>
      </w:r>
      <w:r>
        <w:rPr>
          <w:rFonts w:hint="eastAsia" w:ascii="宋体" w:hAnsi="宋体"/>
          <w:color w:val="auto"/>
          <w:sz w:val="24"/>
          <w:highlight w:val="none"/>
        </w:rPr>
        <w:t>一</w:t>
      </w:r>
      <w:r>
        <w:rPr>
          <w:rFonts w:ascii="宋体" w:hAnsi="宋体"/>
          <w:color w:val="auto"/>
          <w:sz w:val="24"/>
          <w:highlight w:val="none"/>
        </w:rPr>
        <w:t>方</w:t>
      </w:r>
      <w:r>
        <w:rPr>
          <w:rFonts w:hint="eastAsia" w:ascii="宋体" w:hAnsi="宋体"/>
          <w:color w:val="auto"/>
          <w:sz w:val="24"/>
          <w:highlight w:val="none"/>
        </w:rPr>
        <w:t>，征得</w:t>
      </w:r>
      <w:r>
        <w:rPr>
          <w:rFonts w:hint="eastAsia" w:ascii="宋体" w:hAnsi="宋体"/>
          <w:color w:val="auto"/>
          <w:sz w:val="24"/>
          <w:highlight w:val="none"/>
          <w:lang w:val="en-US" w:eastAsia="zh-CN"/>
        </w:rPr>
        <w:t>两方</w:t>
      </w:r>
      <w:r>
        <w:rPr>
          <w:rFonts w:hint="eastAsia" w:ascii="宋体" w:hAnsi="宋体"/>
          <w:color w:val="auto"/>
          <w:sz w:val="24"/>
          <w:highlight w:val="none"/>
        </w:rPr>
        <w:t>的</w:t>
      </w:r>
      <w:r>
        <w:rPr>
          <w:rFonts w:ascii="宋体" w:hAnsi="宋体"/>
          <w:color w:val="auto"/>
          <w:sz w:val="24"/>
          <w:highlight w:val="none"/>
        </w:rPr>
        <w:t>书面同意。</w:t>
      </w:r>
    </w:p>
    <w:p w14:paraId="04440855">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二、甲方的责任和义务</w:t>
      </w:r>
    </w:p>
    <w:p w14:paraId="27F75E5B">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甲方应向乙方提供临床试验方案、研究者手册、临床试验资料综述、原国家药品监督管理局的临床批件（或国家药品监督管理局临床试验通知书）及乙方管理部门和伦理委员会要求的其他相关资料，并对所提供资料的真实性和合法性负责。</w:t>
      </w:r>
    </w:p>
    <w:p w14:paraId="6FC64AA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.甲方负责提供本</w:t>
      </w:r>
      <w:r>
        <w:rPr>
          <w:rFonts w:hint="eastAsia" w:ascii="宋体" w:hAnsi="宋体"/>
          <w:color w:val="auto"/>
          <w:sz w:val="24"/>
          <w:highlight w:val="none"/>
        </w:rPr>
        <w:t>临床试验</w:t>
      </w:r>
      <w:r>
        <w:rPr>
          <w:rFonts w:ascii="宋体" w:hAnsi="宋体"/>
          <w:color w:val="auto"/>
          <w:sz w:val="24"/>
          <w:highlight w:val="none"/>
        </w:rPr>
        <w:t>涉及到的试验药品</w:t>
      </w:r>
      <w:r>
        <w:rPr>
          <w:rFonts w:hint="eastAsia" w:ascii="宋体" w:hAnsi="宋体"/>
          <w:color w:val="auto"/>
          <w:sz w:val="24"/>
          <w:highlight w:val="none"/>
        </w:rPr>
        <w:t>及其质检报告，对临床试验药物的质量负责。</w:t>
      </w:r>
      <w:r>
        <w:rPr>
          <w:rFonts w:ascii="宋体" w:hAnsi="宋体"/>
          <w:color w:val="auto"/>
          <w:sz w:val="24"/>
          <w:highlight w:val="none"/>
        </w:rPr>
        <w:t>确保试验药物的标签与包装</w:t>
      </w:r>
      <w:r>
        <w:rPr>
          <w:rFonts w:hint="eastAsia" w:ascii="宋体" w:hAnsi="宋体"/>
          <w:color w:val="auto"/>
          <w:sz w:val="24"/>
          <w:highlight w:val="none"/>
        </w:rPr>
        <w:t>符合药物临床试验方案要求</w:t>
      </w:r>
      <w:r>
        <w:rPr>
          <w:rFonts w:ascii="宋体" w:hAnsi="宋体"/>
          <w:color w:val="auto"/>
          <w:sz w:val="24"/>
          <w:highlight w:val="none"/>
        </w:rPr>
        <w:t>。</w:t>
      </w:r>
    </w:p>
    <w:p w14:paraId="7B5B54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甲方作为临床试验数据质量和可靠性的最终责任人，负责建立临床研究的质量控制和质量保证系统。</w:t>
      </w:r>
    </w:p>
    <w:p w14:paraId="0C4B20BC">
      <w:pPr>
        <w:spacing w:line="360" w:lineRule="auto"/>
        <w:ind w:firstLine="480" w:firstLineChars="200"/>
        <w:rPr>
          <w:rFonts w:ascii="宋体" w:hAnsi="宋体"/>
          <w:b/>
          <w:bCs/>
          <w:i/>
          <w:iCs/>
          <w:color w:val="auto"/>
          <w:sz w:val="24"/>
          <w:highlight w:val="none"/>
        </w:rPr>
      </w:pPr>
      <w:r>
        <w:rPr>
          <w:rFonts w:hint="eastAsia" w:ascii="宋体" w:hAnsi="宋体"/>
          <w:color w:val="auto"/>
          <w:sz w:val="24"/>
          <w:highlight w:val="none"/>
        </w:rPr>
        <w:t>4.甲方</w:t>
      </w:r>
      <w:r>
        <w:rPr>
          <w:rFonts w:ascii="宋体" w:hAnsi="宋体"/>
          <w:color w:val="auto"/>
          <w:sz w:val="24"/>
          <w:highlight w:val="none"/>
        </w:rPr>
        <w:t>负责临床</w:t>
      </w:r>
      <w:r>
        <w:rPr>
          <w:rFonts w:hint="eastAsia" w:ascii="宋体" w:hAnsi="宋体"/>
          <w:color w:val="auto"/>
          <w:sz w:val="24"/>
          <w:highlight w:val="none"/>
        </w:rPr>
        <w:t>研究的</w:t>
      </w:r>
      <w:r>
        <w:rPr>
          <w:rFonts w:ascii="宋体" w:hAnsi="宋体"/>
          <w:color w:val="auto"/>
          <w:sz w:val="24"/>
          <w:highlight w:val="none"/>
        </w:rPr>
        <w:t>全过程</w:t>
      </w:r>
      <w:r>
        <w:rPr>
          <w:rFonts w:hint="eastAsia" w:ascii="宋体" w:hAnsi="宋体"/>
          <w:color w:val="auto"/>
          <w:sz w:val="24"/>
          <w:highlight w:val="none"/>
        </w:rPr>
        <w:t>管理</w:t>
      </w:r>
      <w:r>
        <w:rPr>
          <w:rFonts w:ascii="宋体" w:hAnsi="宋体"/>
          <w:color w:val="auto"/>
          <w:sz w:val="24"/>
          <w:highlight w:val="none"/>
        </w:rPr>
        <w:t>包括但不限于提供临床</w:t>
      </w:r>
      <w:r>
        <w:rPr>
          <w:rFonts w:hint="eastAsia" w:ascii="宋体" w:hAnsi="宋体"/>
          <w:color w:val="auto"/>
          <w:sz w:val="24"/>
          <w:highlight w:val="none"/>
        </w:rPr>
        <w:t>试验</w:t>
      </w:r>
      <w:r>
        <w:rPr>
          <w:rFonts w:ascii="宋体" w:hAnsi="宋体"/>
          <w:color w:val="auto"/>
          <w:sz w:val="24"/>
          <w:highlight w:val="none"/>
        </w:rPr>
        <w:t>相关材料、项目培训、启动、</w:t>
      </w:r>
      <w:r>
        <w:rPr>
          <w:rFonts w:hint="eastAsia" w:ascii="宋体" w:hAnsi="宋体"/>
          <w:color w:val="auto"/>
          <w:sz w:val="24"/>
          <w:highlight w:val="none"/>
        </w:rPr>
        <w:t>关中心、</w:t>
      </w:r>
      <w:r>
        <w:rPr>
          <w:rFonts w:ascii="宋体" w:hAnsi="宋体"/>
          <w:color w:val="auto"/>
          <w:sz w:val="24"/>
          <w:highlight w:val="none"/>
        </w:rPr>
        <w:t>处理有可能发生的赔偿事宜等。</w:t>
      </w:r>
      <w:r>
        <w:rPr>
          <w:rFonts w:hint="eastAsia" w:ascii="宋体" w:hAnsi="宋体"/>
          <w:b/>
          <w:bCs/>
          <w:i/>
          <w:iCs/>
          <w:color w:val="auto"/>
          <w:sz w:val="24"/>
          <w:highlight w:val="none"/>
        </w:rPr>
        <w:t>【如适用，请保留】</w:t>
      </w:r>
    </w:p>
    <w:p w14:paraId="069C3FD0">
      <w:pPr>
        <w:spacing w:line="360" w:lineRule="auto"/>
        <w:ind w:firstLine="480" w:firstLineChars="200"/>
        <w:rPr>
          <w:rFonts w:ascii="宋体" w:hAnsi="宋体"/>
          <w:b/>
          <w:bCs/>
          <w:i/>
          <w:iCs/>
          <w:color w:val="auto"/>
          <w:sz w:val="24"/>
          <w:highlight w:val="none"/>
        </w:rPr>
      </w:pPr>
      <w:r>
        <w:rPr>
          <w:rFonts w:hint="eastAsia" w:ascii="宋体" w:hAnsi="宋体"/>
          <w:color w:val="auto"/>
          <w:sz w:val="24"/>
          <w:highlight w:val="none"/>
        </w:rPr>
        <w:t>5.甲方向乙方提供的临床研究经费，应遵照本合同进行支付。</w:t>
      </w:r>
      <w:r>
        <w:rPr>
          <w:rFonts w:hint="eastAsia" w:ascii="宋体" w:hAnsi="宋体"/>
          <w:b/>
          <w:bCs/>
          <w:i/>
          <w:iCs/>
          <w:color w:val="auto"/>
          <w:sz w:val="24"/>
          <w:highlight w:val="none"/>
        </w:rPr>
        <w:t>【如丙方支付经费，此条可删除】</w:t>
      </w:r>
    </w:p>
    <w:p w14:paraId="14FFE7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.在</w:t>
      </w:r>
      <w:r>
        <w:rPr>
          <w:rFonts w:hint="eastAsia" w:ascii="宋体" w:hAnsi="宋体"/>
          <w:color w:val="auto"/>
          <w:sz w:val="24"/>
          <w:highlight w:val="none"/>
        </w:rPr>
        <w:t>临床试验</w:t>
      </w:r>
      <w:r>
        <w:rPr>
          <w:rFonts w:ascii="宋体" w:hAnsi="宋体"/>
          <w:color w:val="auto"/>
          <w:sz w:val="24"/>
          <w:highlight w:val="none"/>
        </w:rPr>
        <w:t>期间，甲方应</w:t>
      </w:r>
      <w:r>
        <w:rPr>
          <w:rFonts w:hint="eastAsia" w:ascii="宋体" w:hAnsi="宋体"/>
          <w:color w:val="auto"/>
          <w:sz w:val="24"/>
          <w:highlight w:val="none"/>
        </w:rPr>
        <w:t>承担受试者</w:t>
      </w:r>
      <w:r>
        <w:rPr>
          <w:rFonts w:ascii="宋体" w:hAnsi="宋体"/>
          <w:color w:val="auto"/>
          <w:sz w:val="24"/>
          <w:highlight w:val="none"/>
        </w:rPr>
        <w:t>因本试验导致的</w:t>
      </w:r>
      <w:r>
        <w:rPr>
          <w:rFonts w:hint="eastAsia" w:ascii="宋体" w:hAnsi="宋体"/>
          <w:color w:val="auto"/>
          <w:sz w:val="24"/>
          <w:highlight w:val="none"/>
        </w:rPr>
        <w:t>损伤所产生的治疗费用。对临床试验中出现的相关损害（含受试者损害、研究单位损害、研究者损害），甲方承担全部责任，包含医疗费用、经济补偿或赔偿等。如进入诉讼程序，由甲方承担律师费、诉讼费等相关费用。（但因乙方原因引起的医疗事故、第三人原因或者受试者故意导致的损害赔偿除外）。</w:t>
      </w:r>
    </w:p>
    <w:p w14:paraId="32CBC4FD">
      <w:pPr>
        <w:spacing w:line="360" w:lineRule="auto"/>
        <w:ind w:firstLine="480" w:firstLineChars="200"/>
        <w:rPr>
          <w:rFonts w:ascii="宋体" w:hAnsi="宋体"/>
          <w:b/>
          <w:bCs/>
          <w:i/>
          <w:iCs/>
          <w:color w:val="auto"/>
          <w:sz w:val="24"/>
          <w:highlight w:val="none"/>
        </w:rPr>
      </w:pPr>
      <w:r>
        <w:rPr>
          <w:rFonts w:hint="eastAsia" w:ascii="宋体" w:hAnsi="宋体"/>
          <w:color w:val="auto"/>
          <w:sz w:val="24"/>
          <w:highlight w:val="none"/>
        </w:rPr>
        <w:t>7.甲方负责组织和监查该项临床研究的质量和进度，派遣合格的监查员。负责该项目的监查员应根据入组速度及时监查，并向主要研究者提交书面报告以便于纠正存在的问题。</w:t>
      </w:r>
      <w:r>
        <w:rPr>
          <w:rFonts w:hint="eastAsia" w:ascii="宋体" w:hAnsi="宋体"/>
          <w:b/>
          <w:bCs/>
          <w:i/>
          <w:iCs/>
          <w:color w:val="auto"/>
          <w:sz w:val="24"/>
          <w:highlight w:val="none"/>
        </w:rPr>
        <w:t>【如适用，请保留】</w:t>
      </w:r>
    </w:p>
    <w:p w14:paraId="207E316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甲方应协助乙方配合相关监管部门检查以确保药物临床试验的质量。</w:t>
      </w:r>
    </w:p>
    <w:p w14:paraId="3FCD33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如果主要研究者从乙方离职或其他原因不能履行其职责，甲方有权要求乙方更换主要研究者。如果更换的主要研究者不能满足甲方的要求，甲方有权终止本合同</w:t>
      </w:r>
      <w:r>
        <w:rPr>
          <w:rFonts w:hint="eastAsia" w:ascii="宋体" w:hAnsi="宋体"/>
          <w:color w:val="auto"/>
          <w:sz w:val="24"/>
          <w:highlight w:val="none"/>
          <w:lang w:eastAsia="zh-CN"/>
        </w:rPr>
        <w:t>，</w:t>
      </w:r>
      <w:r>
        <w:rPr>
          <w:rFonts w:hint="default" w:ascii="Times New Roman" w:hAnsi="Times New Roman" w:cs="Times New Roman"/>
          <w:color w:val="auto"/>
          <w:sz w:val="24"/>
          <w:highlight w:val="none"/>
        </w:rPr>
        <w:t>丙方将根据已完成任务的比例按总金额相应比例支付给乙方</w:t>
      </w:r>
      <w:r>
        <w:rPr>
          <w:rFonts w:hint="eastAsia" w:ascii="宋体" w:hAnsi="宋体"/>
          <w:color w:val="auto"/>
          <w:sz w:val="24"/>
          <w:highlight w:val="none"/>
        </w:rPr>
        <w:t>。</w:t>
      </w:r>
    </w:p>
    <w:p w14:paraId="1E93CE2E">
      <w:pPr>
        <w:spacing w:line="360" w:lineRule="auto"/>
        <w:ind w:firstLine="480" w:firstLineChars="200"/>
        <w:rPr>
          <w:rFonts w:ascii="宋体" w:hAnsi="宋体"/>
          <w:b/>
          <w:bCs/>
          <w:i/>
          <w:iCs/>
          <w:color w:val="auto"/>
          <w:sz w:val="24"/>
          <w:highlight w:val="none"/>
        </w:rPr>
      </w:pPr>
      <w:r>
        <w:rPr>
          <w:rFonts w:hint="eastAsia" w:ascii="宋体" w:hAnsi="宋体"/>
          <w:color w:val="auto"/>
          <w:sz w:val="24"/>
          <w:highlight w:val="none"/>
        </w:rPr>
        <w:t>9</w:t>
      </w:r>
      <w:r>
        <w:rPr>
          <w:rFonts w:ascii="宋体" w:hAnsi="宋体"/>
          <w:color w:val="auto"/>
          <w:sz w:val="24"/>
          <w:highlight w:val="none"/>
        </w:rPr>
        <w:t>.</w:t>
      </w:r>
      <w:r>
        <w:rPr>
          <w:rFonts w:hint="eastAsia" w:ascii="宋体" w:hAnsi="宋体"/>
          <w:color w:val="auto"/>
          <w:sz w:val="24"/>
          <w:highlight w:val="none"/>
        </w:rPr>
        <w:t>临床研究</w:t>
      </w:r>
      <w:r>
        <w:rPr>
          <w:rFonts w:ascii="宋体" w:hAnsi="宋体"/>
          <w:color w:val="auto"/>
          <w:sz w:val="24"/>
          <w:highlight w:val="none"/>
        </w:rPr>
        <w:t>实行全国竞争入组，</w:t>
      </w:r>
      <w:r>
        <w:rPr>
          <w:rFonts w:hint="eastAsia" w:ascii="宋体" w:hAnsi="宋体"/>
          <w:color w:val="auto"/>
          <w:sz w:val="24"/>
          <w:highlight w:val="none"/>
        </w:rPr>
        <w:t>当该项目病例总数达到方案要求时，</w:t>
      </w:r>
      <w:r>
        <w:rPr>
          <w:rFonts w:ascii="宋体" w:hAnsi="宋体"/>
          <w:color w:val="auto"/>
          <w:sz w:val="24"/>
          <w:highlight w:val="none"/>
        </w:rPr>
        <w:t>甲方有权</w:t>
      </w:r>
      <w:r>
        <w:rPr>
          <w:rFonts w:hint="eastAsia" w:ascii="宋体" w:hAnsi="宋体"/>
          <w:color w:val="auto"/>
          <w:sz w:val="24"/>
          <w:highlight w:val="none"/>
        </w:rPr>
        <w:t>终止乙方的临床研究，即使乙方完成病例数未达到本合同约定的例数。</w:t>
      </w:r>
      <w:r>
        <w:rPr>
          <w:rFonts w:hint="eastAsia" w:ascii="宋体" w:hAnsi="宋体"/>
          <w:b/>
          <w:bCs/>
          <w:i/>
          <w:iCs/>
          <w:color w:val="auto"/>
          <w:sz w:val="24"/>
          <w:highlight w:val="none"/>
        </w:rPr>
        <w:t>【如适用，请保留】</w:t>
      </w:r>
    </w:p>
    <w:p w14:paraId="0F6B9683">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三、乙方的责任和义务</w:t>
      </w:r>
    </w:p>
    <w:p w14:paraId="6929FCB2">
      <w:pPr>
        <w:spacing w:line="360" w:lineRule="auto"/>
        <w:ind w:firstLine="480" w:firstLineChars="200"/>
        <w:rPr>
          <w:rFonts w:ascii="宋体" w:hAnsi="宋体"/>
          <w:color w:val="auto"/>
          <w:sz w:val="24"/>
          <w:highlight w:val="none"/>
        </w:rPr>
      </w:pPr>
      <w:r>
        <w:rPr>
          <w:rFonts w:ascii="宋体" w:hAnsi="宋体"/>
          <w:color w:val="auto"/>
          <w:sz w:val="24"/>
          <w:highlight w:val="none"/>
        </w:rPr>
        <w:t>1.乙方应根据甲方及临床试验方案的要求委派具备</w:t>
      </w:r>
      <w:r>
        <w:rPr>
          <w:rFonts w:hint="eastAsia" w:ascii="宋体" w:hAnsi="宋体"/>
          <w:color w:val="auto"/>
          <w:sz w:val="24"/>
          <w:highlight w:val="none"/>
        </w:rPr>
        <w:t>实施临床试验资质</w:t>
      </w:r>
      <w:r>
        <w:rPr>
          <w:rFonts w:ascii="宋体" w:hAnsi="宋体"/>
          <w:color w:val="auto"/>
          <w:sz w:val="24"/>
          <w:highlight w:val="none"/>
        </w:rPr>
        <w:t>的研究人员</w:t>
      </w:r>
      <w:r>
        <w:rPr>
          <w:rFonts w:hint="eastAsia" w:ascii="宋体" w:hAnsi="宋体"/>
          <w:color w:val="auto"/>
          <w:sz w:val="24"/>
          <w:highlight w:val="none"/>
        </w:rPr>
        <w:t>。</w:t>
      </w:r>
      <w:r>
        <w:rPr>
          <w:rFonts w:ascii="宋体" w:hAnsi="宋体"/>
          <w:color w:val="auto"/>
          <w:sz w:val="24"/>
          <w:highlight w:val="none"/>
        </w:rPr>
        <w:t>乙方所有参加研究人员必须详细阅读和了解试验方案的内容，严格按照试验方案规定的方法、标准操作规程进行临床</w:t>
      </w:r>
      <w:r>
        <w:rPr>
          <w:rFonts w:hint="eastAsia" w:ascii="宋体" w:hAnsi="宋体"/>
          <w:color w:val="auto"/>
          <w:sz w:val="24"/>
          <w:highlight w:val="none"/>
        </w:rPr>
        <w:t>试验并及时、准确的记</w:t>
      </w:r>
      <w:r>
        <w:rPr>
          <w:rFonts w:ascii="宋体" w:hAnsi="宋体"/>
          <w:color w:val="auto"/>
          <w:sz w:val="24"/>
          <w:highlight w:val="none"/>
        </w:rPr>
        <w:t>录。</w:t>
      </w:r>
    </w:p>
    <w:p w14:paraId="7181FE98">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乙方应提供适当的场所、设施和其它资源以保障试验的顺利实施。</w:t>
      </w:r>
    </w:p>
    <w:p w14:paraId="4401D1A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乙方应在试验期间负责</w:t>
      </w:r>
      <w:r>
        <w:rPr>
          <w:rFonts w:ascii="宋体" w:hAnsi="宋体"/>
          <w:color w:val="auto"/>
          <w:sz w:val="24"/>
          <w:highlight w:val="none"/>
        </w:rPr>
        <w:t>试验用药品</w:t>
      </w:r>
      <w:r>
        <w:rPr>
          <w:rFonts w:hint="eastAsia" w:ascii="宋体" w:hAnsi="宋体"/>
          <w:color w:val="auto"/>
          <w:sz w:val="24"/>
          <w:highlight w:val="none"/>
        </w:rPr>
        <w:t>及其他相关试验物资的保存和管理，同时做好相应的接收、发放、回收、清点、记录、交接工作。乙方</w:t>
      </w:r>
      <w:r>
        <w:rPr>
          <w:rFonts w:ascii="宋体" w:hAnsi="宋体"/>
          <w:color w:val="auto"/>
          <w:sz w:val="24"/>
          <w:highlight w:val="none"/>
        </w:rPr>
        <w:t>保证对试验药品的正确保存和发放，所有试验用药品仅用于该试验</w:t>
      </w:r>
      <w:r>
        <w:rPr>
          <w:rFonts w:hint="eastAsia" w:ascii="宋体" w:hAnsi="宋体"/>
          <w:color w:val="auto"/>
          <w:sz w:val="24"/>
          <w:highlight w:val="none"/>
        </w:rPr>
        <w:t>的</w:t>
      </w:r>
      <w:r>
        <w:rPr>
          <w:rFonts w:ascii="宋体" w:hAnsi="宋体"/>
          <w:color w:val="auto"/>
          <w:sz w:val="24"/>
          <w:highlight w:val="none"/>
        </w:rPr>
        <w:t>受试者。试验结束后，乙方须将剩余药物</w:t>
      </w:r>
      <w:r>
        <w:rPr>
          <w:rFonts w:hint="eastAsia" w:ascii="宋体" w:hAnsi="宋体"/>
          <w:color w:val="auto"/>
          <w:sz w:val="24"/>
          <w:highlight w:val="none"/>
        </w:rPr>
        <w:t>及物资</w:t>
      </w:r>
      <w:r>
        <w:rPr>
          <w:rFonts w:ascii="宋体" w:hAnsi="宋体"/>
          <w:color w:val="auto"/>
          <w:sz w:val="24"/>
          <w:highlight w:val="none"/>
        </w:rPr>
        <w:t>交还甲方</w:t>
      </w:r>
      <w:r>
        <w:rPr>
          <w:rFonts w:hint="eastAsia" w:ascii="宋体" w:hAnsi="宋体"/>
          <w:color w:val="auto"/>
          <w:sz w:val="24"/>
          <w:highlight w:val="none"/>
        </w:rPr>
        <w:t>或按甲方要求处理</w:t>
      </w:r>
      <w:r>
        <w:rPr>
          <w:rFonts w:ascii="宋体" w:hAnsi="宋体"/>
          <w:color w:val="auto"/>
          <w:sz w:val="24"/>
          <w:highlight w:val="none"/>
        </w:rPr>
        <w:t>。</w:t>
      </w:r>
    </w:p>
    <w:p w14:paraId="629CF17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.乙方负责作出与临床试验相关的医疗决定，保证受试者在试验期间出现</w:t>
      </w:r>
      <w:r>
        <w:rPr>
          <w:rFonts w:hint="eastAsia" w:ascii="宋体" w:hAnsi="宋体"/>
          <w:color w:val="auto"/>
          <w:sz w:val="24"/>
          <w:highlight w:val="none"/>
        </w:rPr>
        <w:t>安全性事件</w:t>
      </w:r>
      <w:r>
        <w:rPr>
          <w:rFonts w:ascii="宋体" w:hAnsi="宋体"/>
          <w:color w:val="auto"/>
          <w:sz w:val="24"/>
          <w:highlight w:val="none"/>
        </w:rPr>
        <w:t>时得到及时、适当的治疗以保障受试者的安全，记录在案</w:t>
      </w:r>
      <w:r>
        <w:rPr>
          <w:rFonts w:hint="eastAsia" w:ascii="宋体" w:hAnsi="宋体"/>
          <w:color w:val="auto"/>
          <w:sz w:val="24"/>
          <w:highlight w:val="none"/>
        </w:rPr>
        <w:t>并根据国家相关规定要求进行上报。</w:t>
      </w:r>
    </w:p>
    <w:p w14:paraId="78C74E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.乙方应保证临床</w:t>
      </w:r>
      <w:r>
        <w:rPr>
          <w:rFonts w:hint="eastAsia" w:ascii="宋体" w:hAnsi="宋体"/>
          <w:color w:val="auto"/>
          <w:sz w:val="24"/>
          <w:highlight w:val="none"/>
        </w:rPr>
        <w:t>试验</w:t>
      </w:r>
      <w:r>
        <w:rPr>
          <w:rFonts w:ascii="宋体" w:hAnsi="宋体"/>
          <w:color w:val="auto"/>
          <w:sz w:val="24"/>
          <w:highlight w:val="none"/>
        </w:rPr>
        <w:t>资料的真实性和可溯源性，</w:t>
      </w:r>
      <w:r>
        <w:rPr>
          <w:rFonts w:hint="eastAsia" w:ascii="宋体" w:hAnsi="宋体"/>
          <w:color w:val="auto"/>
          <w:sz w:val="24"/>
          <w:highlight w:val="none"/>
        </w:rPr>
        <w:t>并</w:t>
      </w:r>
      <w:r>
        <w:rPr>
          <w:rFonts w:ascii="宋体" w:hAnsi="宋体"/>
          <w:color w:val="auto"/>
          <w:sz w:val="24"/>
          <w:highlight w:val="none"/>
        </w:rPr>
        <w:t>接受甲方</w:t>
      </w:r>
      <w:r>
        <w:rPr>
          <w:rFonts w:hint="eastAsia" w:ascii="宋体" w:hAnsi="宋体"/>
          <w:color w:val="auto"/>
          <w:sz w:val="24"/>
          <w:highlight w:val="none"/>
        </w:rPr>
        <w:t>和/或丙方</w:t>
      </w:r>
      <w:r>
        <w:rPr>
          <w:rFonts w:hint="eastAsia" w:ascii="宋体" w:hAnsi="宋体"/>
          <w:b/>
          <w:bCs/>
          <w:i/>
          <w:iCs/>
          <w:color w:val="auto"/>
          <w:sz w:val="24"/>
          <w:highlight w:val="none"/>
        </w:rPr>
        <w:t>【如不适用，请删除】</w:t>
      </w:r>
      <w:r>
        <w:rPr>
          <w:rFonts w:ascii="宋体" w:hAnsi="宋体"/>
          <w:color w:val="auto"/>
          <w:sz w:val="24"/>
          <w:highlight w:val="none"/>
        </w:rPr>
        <w:t>派遣的监查员或稽查员的监查和稽查</w:t>
      </w:r>
      <w:r>
        <w:rPr>
          <w:rFonts w:hint="eastAsia" w:ascii="宋体" w:hAnsi="宋体"/>
          <w:color w:val="auto"/>
          <w:sz w:val="24"/>
          <w:highlight w:val="none"/>
        </w:rPr>
        <w:t>以</w:t>
      </w:r>
      <w:r>
        <w:rPr>
          <w:rFonts w:ascii="宋体" w:hAnsi="宋体"/>
          <w:color w:val="auto"/>
          <w:sz w:val="24"/>
          <w:highlight w:val="none"/>
        </w:rPr>
        <w:t>及药品监督管理部门</w:t>
      </w:r>
      <w:r>
        <w:rPr>
          <w:rFonts w:hint="eastAsia" w:ascii="宋体" w:hAnsi="宋体"/>
          <w:color w:val="auto"/>
          <w:sz w:val="24"/>
          <w:highlight w:val="none"/>
        </w:rPr>
        <w:t>检查</w:t>
      </w:r>
      <w:r>
        <w:rPr>
          <w:rFonts w:ascii="宋体" w:hAnsi="宋体"/>
          <w:color w:val="auto"/>
          <w:sz w:val="24"/>
          <w:highlight w:val="none"/>
        </w:rPr>
        <w:t>，确保临床试验的质量。</w:t>
      </w:r>
    </w:p>
    <w:p w14:paraId="2B7B648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.乙方在</w:t>
      </w:r>
      <w:r>
        <w:rPr>
          <w:rFonts w:hint="eastAsia" w:ascii="宋体" w:hAnsi="宋体"/>
          <w:color w:val="auto"/>
          <w:sz w:val="24"/>
          <w:highlight w:val="none"/>
        </w:rPr>
        <w:t>临床</w:t>
      </w:r>
      <w:r>
        <w:rPr>
          <w:rFonts w:ascii="宋体" w:hAnsi="宋体"/>
          <w:color w:val="auto"/>
          <w:sz w:val="24"/>
          <w:highlight w:val="none"/>
        </w:rPr>
        <w:t>试验工作结束后，</w:t>
      </w:r>
      <w:r>
        <w:rPr>
          <w:rFonts w:hint="eastAsia" w:ascii="宋体" w:hAnsi="宋体"/>
          <w:color w:val="auto"/>
          <w:sz w:val="24"/>
          <w:highlight w:val="none"/>
        </w:rPr>
        <w:t>本药物临床试验归档材料</w:t>
      </w:r>
      <w:r>
        <w:rPr>
          <w:rFonts w:ascii="宋体" w:hAnsi="宋体"/>
          <w:color w:val="auto"/>
          <w:sz w:val="24"/>
          <w:highlight w:val="none"/>
        </w:rPr>
        <w:t>乙方免费保存5年</w:t>
      </w:r>
      <w:r>
        <w:rPr>
          <w:rFonts w:hint="eastAsia" w:ascii="宋体" w:hAnsi="宋体"/>
          <w:color w:val="auto"/>
          <w:sz w:val="24"/>
          <w:highlight w:val="none"/>
        </w:rPr>
        <w:t>。</w:t>
      </w:r>
    </w:p>
    <w:p w14:paraId="564DB5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.乙方有义务协助甲方参加审评答辩会，负责该试验资料的解释和答辩</w:t>
      </w:r>
      <w:r>
        <w:rPr>
          <w:rFonts w:hint="eastAsia" w:ascii="宋体" w:hAnsi="宋体"/>
          <w:color w:val="auto"/>
          <w:sz w:val="24"/>
          <w:highlight w:val="none"/>
        </w:rPr>
        <w:t>。</w:t>
      </w:r>
    </w:p>
    <w:p w14:paraId="07F7C9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.乙方有义务在药品注册过程中接受药监局的</w:t>
      </w:r>
      <w:r>
        <w:rPr>
          <w:rFonts w:hint="eastAsia" w:ascii="宋体" w:hAnsi="宋体"/>
          <w:color w:val="auto"/>
          <w:sz w:val="24"/>
          <w:highlight w:val="none"/>
        </w:rPr>
        <w:t>检查</w:t>
      </w:r>
      <w:r>
        <w:rPr>
          <w:rFonts w:ascii="宋体" w:hAnsi="宋体"/>
          <w:color w:val="auto"/>
          <w:sz w:val="24"/>
          <w:highlight w:val="none"/>
        </w:rPr>
        <w:t>及对其提出的发补意见进行及时解答和</w:t>
      </w:r>
      <w:r>
        <w:rPr>
          <w:rFonts w:hint="eastAsia" w:ascii="宋体" w:hAnsi="宋体"/>
          <w:color w:val="auto"/>
          <w:sz w:val="24"/>
          <w:highlight w:val="none"/>
        </w:rPr>
        <w:t>合理的</w:t>
      </w:r>
      <w:r>
        <w:rPr>
          <w:rFonts w:ascii="宋体" w:hAnsi="宋体"/>
          <w:color w:val="auto"/>
          <w:sz w:val="24"/>
          <w:highlight w:val="none"/>
        </w:rPr>
        <w:t>补充完善。</w:t>
      </w:r>
    </w:p>
    <w:p w14:paraId="629F6C4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.未经甲方书面同意，乙方不得将承担的临床</w:t>
      </w:r>
      <w:r>
        <w:rPr>
          <w:rFonts w:hint="eastAsia" w:ascii="宋体" w:hAnsi="宋体"/>
          <w:color w:val="auto"/>
          <w:sz w:val="24"/>
          <w:highlight w:val="none"/>
        </w:rPr>
        <w:t>试验</w:t>
      </w:r>
      <w:r>
        <w:rPr>
          <w:rFonts w:ascii="宋体" w:hAnsi="宋体"/>
          <w:color w:val="auto"/>
          <w:sz w:val="24"/>
          <w:highlight w:val="none"/>
        </w:rPr>
        <w:t>工作转给其他单位进行。</w:t>
      </w:r>
    </w:p>
    <w:p w14:paraId="0A67E08C">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w:t>
      </w:r>
      <w:r>
        <w:rPr>
          <w:rFonts w:hint="eastAsia" w:ascii="宋体" w:hAnsi="宋体"/>
          <w:color w:val="auto"/>
          <w:sz w:val="24"/>
          <w:highlight w:val="none"/>
        </w:rPr>
        <w:t>竞争入组项目，在甲方提出项目入组结束前，乙方可以超计划例数入组，不用再签补充合同。甲方/丙方</w:t>
      </w:r>
      <w:r>
        <w:rPr>
          <w:rFonts w:hint="eastAsia" w:ascii="宋体" w:hAnsi="宋体"/>
          <w:b/>
          <w:bCs/>
          <w:i/>
          <w:iCs/>
          <w:color w:val="auto"/>
          <w:sz w:val="24"/>
          <w:highlight w:val="none"/>
        </w:rPr>
        <w:t>【如不适用，请删除】</w:t>
      </w:r>
      <w:r>
        <w:rPr>
          <w:rFonts w:hint="eastAsia" w:ascii="宋体" w:hAnsi="宋体"/>
          <w:color w:val="auto"/>
          <w:sz w:val="24"/>
          <w:highlight w:val="none"/>
        </w:rPr>
        <w:t>按最终实际发生例数支付费用。</w:t>
      </w:r>
      <w:r>
        <w:rPr>
          <w:rFonts w:hint="eastAsia" w:ascii="宋体" w:hAnsi="宋体"/>
          <w:b/>
          <w:bCs/>
          <w:i/>
          <w:iCs/>
          <w:color w:val="auto"/>
          <w:sz w:val="24"/>
          <w:highlight w:val="none"/>
        </w:rPr>
        <w:t>【</w:t>
      </w:r>
      <w:r>
        <w:rPr>
          <w:rFonts w:hint="eastAsia" w:ascii="宋体" w:hAnsi="宋体"/>
          <w:b/>
          <w:bCs/>
          <w:i/>
          <w:color w:val="auto"/>
          <w:sz w:val="24"/>
          <w:highlight w:val="none"/>
        </w:rPr>
        <w:t>如适用，请保留本条款</w:t>
      </w:r>
      <w:r>
        <w:rPr>
          <w:rFonts w:hint="eastAsia" w:ascii="宋体" w:hAnsi="宋体"/>
          <w:b/>
          <w:bCs/>
          <w:i/>
          <w:iCs/>
          <w:color w:val="auto"/>
          <w:sz w:val="24"/>
          <w:highlight w:val="none"/>
        </w:rPr>
        <w:t>】</w:t>
      </w:r>
    </w:p>
    <w:p w14:paraId="5CBA8EB5">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四、丙方的责任和义务</w:t>
      </w:r>
    </w:p>
    <w:p w14:paraId="4097932B">
      <w:pPr>
        <w:spacing w:line="360" w:lineRule="auto"/>
        <w:ind w:firstLine="480" w:firstLineChars="200"/>
        <w:rPr>
          <w:rFonts w:ascii="宋体" w:hAnsi="宋体"/>
          <w:b/>
          <w:bCs/>
          <w:i/>
          <w:iCs/>
          <w:color w:val="auto"/>
          <w:sz w:val="24"/>
          <w:highlight w:val="none"/>
        </w:rPr>
      </w:pPr>
      <w:r>
        <w:rPr>
          <w:rFonts w:hint="eastAsia" w:ascii="宋体" w:hAnsi="宋体"/>
          <w:color w:val="auto"/>
          <w:sz w:val="24"/>
          <w:highlight w:val="none"/>
        </w:rPr>
        <w:t>1.受甲方委托，丙方向乙方支付临床研究经费。</w:t>
      </w:r>
      <w:r>
        <w:rPr>
          <w:rFonts w:hint="eastAsia" w:ascii="宋体" w:hAnsi="宋体"/>
          <w:b/>
          <w:bCs/>
          <w:i/>
          <w:iCs/>
          <w:color w:val="auto"/>
          <w:sz w:val="24"/>
          <w:highlight w:val="none"/>
        </w:rPr>
        <w:t>【如甲方支付经费，此条删除】</w:t>
      </w:r>
    </w:p>
    <w:p w14:paraId="7866F248">
      <w:pPr>
        <w:spacing w:line="360" w:lineRule="auto"/>
        <w:ind w:firstLine="480" w:firstLineChars="200"/>
        <w:rPr>
          <w:rFonts w:ascii="宋体" w:hAnsi="宋体"/>
          <w:b/>
          <w:bCs/>
          <w:i/>
          <w:iCs/>
          <w:color w:val="auto"/>
          <w:sz w:val="24"/>
          <w:highlight w:val="none"/>
        </w:rPr>
      </w:pPr>
      <w:r>
        <w:rPr>
          <w:rFonts w:hint="eastAsia" w:ascii="宋体" w:hAnsi="宋体"/>
          <w:color w:val="auto"/>
          <w:sz w:val="24"/>
          <w:highlight w:val="none"/>
        </w:rPr>
        <w:t>2.</w:t>
      </w:r>
      <w:r>
        <w:rPr>
          <w:rFonts w:ascii="宋体" w:hAnsi="宋体"/>
          <w:color w:val="auto"/>
          <w:sz w:val="24"/>
          <w:highlight w:val="none"/>
        </w:rPr>
        <w:t>受甲方委托，丙方负责临床</w:t>
      </w:r>
      <w:r>
        <w:rPr>
          <w:rFonts w:hint="eastAsia" w:ascii="宋体" w:hAnsi="宋体"/>
          <w:color w:val="auto"/>
          <w:sz w:val="24"/>
          <w:highlight w:val="none"/>
        </w:rPr>
        <w:t>研究的</w:t>
      </w:r>
      <w:r>
        <w:rPr>
          <w:rFonts w:ascii="宋体" w:hAnsi="宋体"/>
          <w:color w:val="auto"/>
          <w:sz w:val="24"/>
          <w:highlight w:val="none"/>
        </w:rPr>
        <w:t>全过程</w:t>
      </w:r>
      <w:r>
        <w:rPr>
          <w:rFonts w:hint="eastAsia" w:ascii="宋体" w:hAnsi="宋体"/>
          <w:color w:val="auto"/>
          <w:sz w:val="24"/>
          <w:highlight w:val="none"/>
        </w:rPr>
        <w:t>管理</w:t>
      </w:r>
      <w:r>
        <w:rPr>
          <w:rFonts w:ascii="宋体" w:hAnsi="宋体"/>
          <w:color w:val="auto"/>
          <w:sz w:val="24"/>
          <w:highlight w:val="none"/>
        </w:rPr>
        <w:t>，包括但不限于</w:t>
      </w:r>
      <w:r>
        <w:rPr>
          <w:rFonts w:hint="eastAsia" w:ascii="宋体" w:hAnsi="宋体"/>
          <w:color w:val="auto"/>
          <w:sz w:val="24"/>
          <w:highlight w:val="none"/>
        </w:rPr>
        <w:t>协助</w:t>
      </w:r>
      <w:r>
        <w:rPr>
          <w:rFonts w:ascii="宋体" w:hAnsi="宋体"/>
          <w:color w:val="auto"/>
          <w:sz w:val="24"/>
          <w:highlight w:val="none"/>
        </w:rPr>
        <w:t>甲方提供临床</w:t>
      </w:r>
      <w:r>
        <w:rPr>
          <w:rFonts w:hint="eastAsia" w:ascii="宋体" w:hAnsi="宋体"/>
          <w:color w:val="auto"/>
          <w:sz w:val="24"/>
          <w:highlight w:val="none"/>
        </w:rPr>
        <w:t>研究</w:t>
      </w:r>
      <w:r>
        <w:rPr>
          <w:rFonts w:ascii="宋体" w:hAnsi="宋体"/>
          <w:color w:val="auto"/>
          <w:sz w:val="24"/>
          <w:highlight w:val="none"/>
        </w:rPr>
        <w:t>相关材料、项目培训、启动、</w:t>
      </w:r>
      <w:r>
        <w:rPr>
          <w:rFonts w:hint="eastAsia" w:ascii="宋体" w:hAnsi="宋体"/>
          <w:color w:val="auto"/>
          <w:sz w:val="24"/>
          <w:highlight w:val="none"/>
        </w:rPr>
        <w:t>关中心、代表/协助</w:t>
      </w:r>
      <w:r>
        <w:rPr>
          <w:rFonts w:ascii="宋体" w:hAnsi="宋体"/>
          <w:color w:val="auto"/>
          <w:sz w:val="24"/>
          <w:highlight w:val="none"/>
        </w:rPr>
        <w:t>甲方协调处理有可能发生的赔偿事宜等。</w:t>
      </w:r>
      <w:r>
        <w:rPr>
          <w:rFonts w:ascii="宋体" w:hAnsi="宋体"/>
          <w:b/>
          <w:bCs/>
          <w:color w:val="auto"/>
          <w:sz w:val="24"/>
          <w:highlight w:val="none"/>
        </w:rPr>
        <w:t xml:space="preserve"> </w:t>
      </w:r>
      <w:r>
        <w:rPr>
          <w:rFonts w:hint="eastAsia" w:ascii="宋体" w:hAnsi="宋体"/>
          <w:b/>
          <w:bCs/>
          <w:i/>
          <w:iCs/>
          <w:color w:val="auto"/>
          <w:sz w:val="24"/>
          <w:highlight w:val="none"/>
        </w:rPr>
        <w:t>【请对比二.甲方职责和义务第3条,如适用，请保留】</w:t>
      </w:r>
    </w:p>
    <w:p w14:paraId="337FE361">
      <w:pPr>
        <w:spacing w:line="360" w:lineRule="auto"/>
        <w:ind w:firstLine="480" w:firstLineChars="200"/>
        <w:rPr>
          <w:rFonts w:ascii="宋体" w:hAnsi="宋体"/>
          <w:b/>
          <w:bCs/>
          <w:i/>
          <w:iCs/>
          <w:color w:val="auto"/>
          <w:sz w:val="24"/>
          <w:highlight w:val="none"/>
        </w:rPr>
      </w:pPr>
      <w:r>
        <w:rPr>
          <w:rFonts w:hint="eastAsia" w:ascii="宋体" w:hAnsi="宋体"/>
          <w:color w:val="auto"/>
          <w:sz w:val="24"/>
          <w:highlight w:val="none"/>
        </w:rPr>
        <w:t>3.丙方负责组织和监查该项临床研究的质量和进度，派遣合格的监查员。负责该项目的监查员应根据入组速度及时监查，并向主要研究者提交书面报告以便于纠正存在的问题。</w:t>
      </w:r>
      <w:r>
        <w:rPr>
          <w:rFonts w:hint="eastAsia" w:ascii="宋体" w:hAnsi="宋体"/>
          <w:b/>
          <w:bCs/>
          <w:i/>
          <w:iCs/>
          <w:color w:val="auto"/>
          <w:sz w:val="24"/>
          <w:highlight w:val="none"/>
        </w:rPr>
        <w:t>【请对比二.甲方的责任和义务第7条,如适用，请保留】</w:t>
      </w:r>
    </w:p>
    <w:p w14:paraId="6694108A">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五、人类遗传资源管理</w:t>
      </w:r>
    </w:p>
    <w:p w14:paraId="5F66238E">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合作各方在临床试验开展前，按照《中华人民共和国生物安全法》、《中华人民共和国人类遗传资源管理条例》等相关法律法规，中华人民共和国科学技术部行政许可相关规定的要求完成行政审批与备案工作。在临床试验过程中各方必须严格按照《条例》等相关法律法规及行政审批许可决定的内容开展相关工作，包括但不限于人类遗传资源材料的种类、数量、检测分析的内容、转运方式、剩余样本，销毁方式和数据信息传输及处理方式等。 </w:t>
      </w:r>
    </w:p>
    <w:p w14:paraId="03EC5E8D">
      <w:pPr>
        <w:autoSpaceDE w:val="0"/>
        <w:autoSpaceDN w:val="0"/>
        <w:spacing w:line="360" w:lineRule="auto"/>
        <w:ind w:firstLine="482" w:firstLineChars="200"/>
        <w:rPr>
          <w:rFonts w:ascii="宋体" w:hAnsi="宋体"/>
          <w:color w:val="auto"/>
          <w:sz w:val="24"/>
          <w:highlight w:val="none"/>
        </w:rPr>
      </w:pPr>
      <w:r>
        <w:rPr>
          <w:rFonts w:hint="eastAsia" w:ascii="宋体" w:hAnsi="宋体"/>
          <w:b/>
          <w:bCs/>
          <w:i/>
          <w:iCs/>
          <w:color w:val="auto"/>
          <w:sz w:val="24"/>
          <w:highlight w:val="none"/>
        </w:rPr>
        <w:t>【说明：本条款内容不允许更改】</w:t>
      </w:r>
    </w:p>
    <w:p w14:paraId="36639673">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六、技术成果的归属和分享</w:t>
      </w:r>
    </w:p>
    <w:p w14:paraId="380474C9">
      <w:pPr>
        <w:spacing w:line="360" w:lineRule="auto"/>
        <w:ind w:firstLine="480" w:firstLineChars="200"/>
        <w:rPr>
          <w:rFonts w:ascii="宋体" w:hAnsi="宋体"/>
          <w:b/>
          <w:bCs/>
          <w:color w:val="auto"/>
          <w:sz w:val="24"/>
          <w:highlight w:val="none"/>
        </w:rPr>
      </w:pPr>
      <w:r>
        <w:rPr>
          <w:rFonts w:ascii="宋体" w:hAnsi="宋体"/>
          <w:color w:val="auto"/>
          <w:sz w:val="24"/>
          <w:highlight w:val="none"/>
        </w:rPr>
        <w:t>1.</w:t>
      </w:r>
      <w:r>
        <w:rPr>
          <w:rFonts w:hint="eastAsia" w:ascii="宋体" w:hAnsi="宋体"/>
          <w:color w:val="auto"/>
          <w:sz w:val="24"/>
          <w:highlight w:val="none"/>
        </w:rPr>
        <w:t>知识产权：所有与本试验相关的文件、资料、信息、成果、技术秘密或商业秘密以及在本试验过程中产生的或与本试验有关的全部权利、权益及商业利益归甲方所有。乙方在合理使用该等数据时，应遵守隐私相关的法律法规和本合同的条款。任何涉及到临床试验的著作和数据均应以甲方作为所有权的拥有者。</w:t>
      </w:r>
    </w:p>
    <w:p w14:paraId="59EB404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除与药物安全性、有效性、适应症等方面相关的统计数据外，本试验过程中产生的临床诊疗数据信息、原始医疗记录及原始数据（包括但不限于病历）所有权归乙方所有。</w:t>
      </w:r>
    </w:p>
    <w:p w14:paraId="36AB7215">
      <w:pPr>
        <w:spacing w:line="360" w:lineRule="auto"/>
        <w:ind w:firstLine="480" w:firstLineChars="200"/>
        <w:rPr>
          <w:rFonts w:ascii="宋体" w:hAnsi="宋体"/>
          <w:color w:val="auto"/>
          <w:sz w:val="24"/>
          <w:highlight w:val="none"/>
        </w:rPr>
      </w:pPr>
      <w:r>
        <w:rPr>
          <w:rFonts w:ascii="宋体" w:hAnsi="宋体"/>
          <w:color w:val="auto"/>
          <w:sz w:val="24"/>
          <w:highlight w:val="none"/>
        </w:rPr>
        <w:t>3.论文发表：</w:t>
      </w:r>
      <w:r>
        <w:rPr>
          <w:rFonts w:hint="eastAsia" w:ascii="宋体" w:hAnsi="宋体"/>
          <w:color w:val="auto"/>
          <w:sz w:val="24"/>
          <w:highlight w:val="none"/>
        </w:rPr>
        <w:t>乙方有权发表本临床试验相关内容。但为了防止无意中泄露机密信息、保护知识产权、保护受试者隐私、确保发表内容的准确性，乙方需要在论文提交至学术期刊之前或在学术会议上交流该临床试验结果之前获得甲方的书面同意。</w:t>
      </w:r>
    </w:p>
    <w:p w14:paraId="557BAB94">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七、</w:t>
      </w:r>
      <w:r>
        <w:rPr>
          <w:rFonts w:ascii="宋体" w:hAnsi="宋体"/>
          <w:b/>
          <w:bCs/>
          <w:color w:val="auto"/>
          <w:sz w:val="24"/>
          <w:highlight w:val="none"/>
        </w:rPr>
        <w:t>保密条款</w:t>
      </w:r>
    </w:p>
    <w:p w14:paraId="2662446B">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披露</w:t>
      </w:r>
      <w:r>
        <w:rPr>
          <w:rFonts w:ascii="宋体" w:hAnsi="宋体"/>
          <w:color w:val="auto"/>
          <w:sz w:val="24"/>
          <w:highlight w:val="none"/>
        </w:rPr>
        <w:t>方根据本合同向</w:t>
      </w:r>
      <w:r>
        <w:rPr>
          <w:rFonts w:hint="eastAsia" w:ascii="宋体" w:hAnsi="宋体"/>
          <w:color w:val="auto"/>
          <w:sz w:val="24"/>
          <w:highlight w:val="none"/>
        </w:rPr>
        <w:t>接受</w:t>
      </w:r>
      <w:r>
        <w:rPr>
          <w:rFonts w:ascii="宋体" w:hAnsi="宋体"/>
          <w:color w:val="auto"/>
          <w:sz w:val="24"/>
          <w:highlight w:val="none"/>
        </w:rPr>
        <w:t>方提供的信息，包括但不限于技术性信息、商业性信息、文件、技术、参数、数据、标准、专有技术等其他专业信息，本合同条款和与本合同有关的其他商业信息或技术信息（以下统称“保密信息”），只能由</w:t>
      </w:r>
      <w:r>
        <w:rPr>
          <w:rFonts w:hint="eastAsia" w:ascii="宋体" w:hAnsi="宋体"/>
          <w:color w:val="auto"/>
          <w:sz w:val="24"/>
          <w:highlight w:val="none"/>
        </w:rPr>
        <w:t>接受</w:t>
      </w:r>
      <w:r>
        <w:rPr>
          <w:rFonts w:ascii="宋体" w:hAnsi="宋体"/>
          <w:color w:val="auto"/>
          <w:sz w:val="24"/>
          <w:highlight w:val="none"/>
        </w:rPr>
        <w:t>方及其人员为本合同目的而使用。对于</w:t>
      </w:r>
      <w:r>
        <w:rPr>
          <w:rFonts w:hint="eastAsia" w:ascii="宋体" w:hAnsi="宋体"/>
          <w:color w:val="auto"/>
          <w:sz w:val="24"/>
          <w:highlight w:val="none"/>
        </w:rPr>
        <w:t>披露</w:t>
      </w:r>
      <w:r>
        <w:rPr>
          <w:rFonts w:ascii="宋体" w:hAnsi="宋体"/>
          <w:color w:val="auto"/>
          <w:sz w:val="24"/>
          <w:highlight w:val="none"/>
        </w:rPr>
        <w:t>方提供的任何保密信息，未经</w:t>
      </w:r>
      <w:r>
        <w:rPr>
          <w:rFonts w:hint="eastAsia" w:ascii="宋体" w:hAnsi="宋体"/>
          <w:color w:val="auto"/>
          <w:sz w:val="24"/>
          <w:highlight w:val="none"/>
        </w:rPr>
        <w:t>披露方</w:t>
      </w:r>
      <w:r>
        <w:rPr>
          <w:rFonts w:ascii="宋体" w:hAnsi="宋体"/>
          <w:color w:val="auto"/>
          <w:sz w:val="24"/>
          <w:highlight w:val="none"/>
        </w:rPr>
        <w:t>书面同意，</w:t>
      </w:r>
      <w:r>
        <w:rPr>
          <w:rFonts w:hint="eastAsia" w:ascii="宋体" w:hAnsi="宋体"/>
          <w:color w:val="auto"/>
          <w:sz w:val="24"/>
          <w:highlight w:val="none"/>
        </w:rPr>
        <w:t>接受</w:t>
      </w:r>
      <w:r>
        <w:rPr>
          <w:rFonts w:ascii="宋体" w:hAnsi="宋体"/>
          <w:color w:val="auto"/>
          <w:sz w:val="24"/>
          <w:highlight w:val="none"/>
        </w:rPr>
        <w:t>方及其知悉保密信息的人员均不得直接或间接地以任何方式提供或披露给任何第三方。“保密信息”不得包含以下信息：</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接受方有证据证明在披露方向其披露信息之前已获得或知晓的信息；</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ascii="宋体" w:hAnsi="宋体"/>
          <w:color w:val="auto"/>
          <w:sz w:val="24"/>
          <w:highlight w:val="none"/>
        </w:rPr>
        <w:t>不是因为接受方的误操作或错误而让公众知晓的信息；</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3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ascii="宋体" w:hAnsi="宋体"/>
          <w:color w:val="auto"/>
          <w:sz w:val="24"/>
          <w:highlight w:val="none"/>
        </w:rPr>
        <w:t>接受方以正当合理途径从其他无保密义务的第三方处得知的信息；和</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4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④</w:t>
      </w:r>
      <w:r>
        <w:rPr>
          <w:rFonts w:ascii="宋体" w:hAnsi="宋体"/>
          <w:color w:val="auto"/>
          <w:sz w:val="24"/>
          <w:highlight w:val="none"/>
        </w:rPr>
        <w:fldChar w:fldCharType="end"/>
      </w:r>
      <w:r>
        <w:rPr>
          <w:rFonts w:ascii="宋体" w:hAnsi="宋体"/>
          <w:color w:val="auto"/>
          <w:sz w:val="24"/>
          <w:highlight w:val="none"/>
        </w:rPr>
        <w:t>接受方独立开发的信息。</w:t>
      </w:r>
    </w:p>
    <w:p w14:paraId="0A9732D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三</w:t>
      </w:r>
      <w:r>
        <w:rPr>
          <w:rFonts w:ascii="宋体" w:hAnsi="宋体"/>
          <w:color w:val="auto"/>
          <w:sz w:val="24"/>
          <w:highlight w:val="none"/>
        </w:rPr>
        <w:t>方同意，除非披露方书面同意，接</w:t>
      </w:r>
      <w:r>
        <w:rPr>
          <w:rFonts w:hint="eastAsia" w:ascii="宋体" w:hAnsi="宋体"/>
          <w:color w:val="auto"/>
          <w:sz w:val="24"/>
          <w:highlight w:val="none"/>
        </w:rPr>
        <w:t>受</w:t>
      </w:r>
      <w:r>
        <w:rPr>
          <w:rFonts w:ascii="宋体" w:hAnsi="宋体"/>
          <w:color w:val="auto"/>
          <w:sz w:val="24"/>
          <w:highlight w:val="none"/>
        </w:rPr>
        <w:t>方：</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不得将保密信息用于除履行本合同目的以外其他用途；且</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ascii="宋体" w:hAnsi="宋体"/>
          <w:color w:val="auto"/>
          <w:sz w:val="24"/>
          <w:highlight w:val="none"/>
        </w:rPr>
        <w:t>不将任何保密信息披露给任何第三方，除非</w:t>
      </w:r>
      <w:r>
        <w:rPr>
          <w:rFonts w:hint="eastAsia" w:ascii="宋体" w:hAnsi="宋体"/>
          <w:color w:val="auto"/>
          <w:sz w:val="24"/>
          <w:highlight w:val="none"/>
        </w:rPr>
        <w:t>是</w:t>
      </w:r>
      <w:r>
        <w:rPr>
          <w:rFonts w:ascii="宋体" w:hAnsi="宋体"/>
          <w:color w:val="auto"/>
          <w:sz w:val="24"/>
          <w:highlight w:val="none"/>
        </w:rPr>
        <w:t>为履行本合同的目的，向有必要获知保密信息并且已经妥为签署保密义务的雇员，或者接受方的代理、代表、律师、顾问和其他有必要知道信息的咨询方；和政府机构、司法程序、证券交易所或相关法律要求的检查、披露或其他活动；但上述披露的范围应控制在必要限度的范围内。接受方同意采取任何可行的措施保护保密信息的保密性，程度不得低于其对自身保密内容或同样性质内容的保护，并避免泄露和非授权使用。</w:t>
      </w:r>
      <w:r>
        <w:rPr>
          <w:rFonts w:hint="eastAsia" w:ascii="宋体" w:hAnsi="宋体"/>
          <w:color w:val="auto"/>
          <w:sz w:val="24"/>
          <w:highlight w:val="none"/>
        </w:rPr>
        <w:t>本保密条款在本合同有效期间内及其终止后五年持续有效，不因本合同的终止而失去效力。</w:t>
      </w:r>
    </w:p>
    <w:p w14:paraId="7A6BAD1F">
      <w:pPr>
        <w:spacing w:line="360" w:lineRule="auto"/>
        <w:ind w:firstLine="480" w:firstLineChars="200"/>
        <w:rPr>
          <w:rFonts w:ascii="宋体" w:hAnsi="宋体"/>
          <w:color w:val="auto"/>
          <w:sz w:val="24"/>
          <w:highlight w:val="none"/>
        </w:rPr>
      </w:pPr>
      <w:r>
        <w:rPr>
          <w:rFonts w:ascii="宋体" w:hAnsi="宋体"/>
          <w:color w:val="auto"/>
          <w:sz w:val="24"/>
          <w:highlight w:val="none"/>
        </w:rPr>
        <w:t>3.本条所规定的保密义务期限在合同解除或终止后继续有效，直至相关保密信息被</w:t>
      </w:r>
      <w:r>
        <w:rPr>
          <w:rFonts w:hint="eastAsia" w:ascii="宋体" w:hAnsi="宋体"/>
          <w:color w:val="auto"/>
          <w:sz w:val="24"/>
          <w:highlight w:val="none"/>
        </w:rPr>
        <w:t>披露方</w:t>
      </w:r>
      <w:r>
        <w:rPr>
          <w:rFonts w:ascii="宋体" w:hAnsi="宋体"/>
          <w:color w:val="auto"/>
          <w:sz w:val="24"/>
          <w:highlight w:val="none"/>
        </w:rPr>
        <w:t>主动公开为止。</w:t>
      </w:r>
    </w:p>
    <w:p w14:paraId="3E50FD6F">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八、</w:t>
      </w:r>
      <w:r>
        <w:rPr>
          <w:rFonts w:ascii="宋体" w:hAnsi="宋体"/>
          <w:b/>
          <w:bCs/>
          <w:color w:val="auto"/>
          <w:sz w:val="24"/>
          <w:highlight w:val="none"/>
        </w:rPr>
        <w:t>违约责任</w:t>
      </w:r>
    </w:p>
    <w:p w14:paraId="41331717">
      <w:pPr>
        <w:spacing w:line="360" w:lineRule="auto"/>
        <w:ind w:firstLine="480" w:firstLineChars="200"/>
        <w:rPr>
          <w:rFonts w:ascii="宋体" w:hAnsi="宋体"/>
          <w:color w:val="auto"/>
          <w:sz w:val="24"/>
          <w:highlight w:val="none"/>
        </w:rPr>
      </w:pPr>
      <w:r>
        <w:rPr>
          <w:rFonts w:ascii="宋体" w:hAnsi="宋体"/>
          <w:color w:val="auto"/>
          <w:sz w:val="24"/>
          <w:highlight w:val="none"/>
        </w:rPr>
        <w:t>1. 任何一方违反本合同项下的任何一项条款均被视为违约。违约方应承担因自己的违约行为而给守约方造成的经济损失。</w:t>
      </w:r>
    </w:p>
    <w:p w14:paraId="0B89D077">
      <w:pPr>
        <w:spacing w:line="360" w:lineRule="auto"/>
        <w:ind w:firstLine="480" w:firstLineChars="200"/>
        <w:rPr>
          <w:rFonts w:ascii="宋体" w:hAnsi="宋体"/>
          <w:color w:val="auto"/>
          <w:sz w:val="24"/>
          <w:highlight w:val="none"/>
        </w:rPr>
      </w:pPr>
      <w:r>
        <w:rPr>
          <w:rFonts w:ascii="宋体" w:hAnsi="宋体"/>
          <w:color w:val="auto"/>
          <w:sz w:val="24"/>
          <w:highlight w:val="none"/>
        </w:rPr>
        <w:t>2. 任何一方违反合同约定，造成</w:t>
      </w:r>
      <w:r>
        <w:rPr>
          <w:rFonts w:hint="eastAsia" w:ascii="宋体" w:hAnsi="宋体"/>
          <w:color w:val="auto"/>
          <w:sz w:val="24"/>
          <w:highlight w:val="none"/>
        </w:rPr>
        <w:t>临床试验</w:t>
      </w:r>
      <w:r>
        <w:rPr>
          <w:rFonts w:ascii="宋体" w:hAnsi="宋体"/>
          <w:color w:val="auto"/>
          <w:sz w:val="24"/>
          <w:highlight w:val="none"/>
        </w:rPr>
        <w:t>工作停滞、延误或失败的，按以下约定承担各自的违约责任：</w:t>
      </w:r>
    </w:p>
    <w:p w14:paraId="1568B868">
      <w:pPr>
        <w:spacing w:line="360" w:lineRule="auto"/>
        <w:ind w:firstLine="480" w:firstLineChars="200"/>
        <w:rPr>
          <w:rFonts w:ascii="宋体" w:hAnsi="宋体"/>
          <w:b/>
          <w:bCs/>
          <w:i/>
          <w:iCs/>
          <w:color w:val="auto"/>
          <w:sz w:val="24"/>
          <w:highlight w:val="none"/>
        </w:rPr>
      </w:pPr>
      <w:r>
        <w:rPr>
          <w:rFonts w:ascii="宋体" w:hAnsi="宋体"/>
          <w:color w:val="auto"/>
          <w:sz w:val="24"/>
          <w:highlight w:val="none"/>
        </w:rPr>
        <w:t>(1)若试验中发现甲方提供的药物有质量问题，</w:t>
      </w:r>
      <w:r>
        <w:rPr>
          <w:rFonts w:hint="eastAsia" w:ascii="宋体" w:hAnsi="宋体"/>
          <w:color w:val="auto"/>
          <w:sz w:val="24"/>
          <w:highlight w:val="none"/>
        </w:rPr>
        <w:t>甲方提交</w:t>
      </w:r>
      <w:r>
        <w:rPr>
          <w:rFonts w:ascii="宋体" w:hAnsi="宋体"/>
          <w:color w:val="auto"/>
          <w:sz w:val="24"/>
          <w:highlight w:val="none"/>
        </w:rPr>
        <w:t>药检部门</w:t>
      </w:r>
      <w:r>
        <w:rPr>
          <w:rFonts w:hint="eastAsia" w:ascii="宋体" w:hAnsi="宋体"/>
          <w:color w:val="auto"/>
          <w:sz w:val="24"/>
          <w:highlight w:val="none"/>
        </w:rPr>
        <w:t>经</w:t>
      </w:r>
      <w:r>
        <w:rPr>
          <w:rFonts w:ascii="宋体" w:hAnsi="宋体"/>
          <w:color w:val="auto"/>
          <w:sz w:val="24"/>
          <w:highlight w:val="none"/>
        </w:rPr>
        <w:t>鉴定属实，乙方有权停止进一步的试验，试验已经实际发生的费用由</w:t>
      </w:r>
      <w:r>
        <w:rPr>
          <w:rFonts w:hint="eastAsia" w:ascii="宋体" w:hAnsi="宋体"/>
          <w:color w:val="auto"/>
          <w:sz w:val="24"/>
          <w:highlight w:val="none"/>
        </w:rPr>
        <w:t>甲</w:t>
      </w:r>
      <w:r>
        <w:rPr>
          <w:rFonts w:ascii="宋体" w:hAnsi="宋体"/>
          <w:color w:val="auto"/>
          <w:sz w:val="24"/>
          <w:highlight w:val="none"/>
        </w:rPr>
        <w:t>方</w:t>
      </w:r>
      <w:r>
        <w:rPr>
          <w:rFonts w:hint="eastAsia" w:ascii="宋体" w:hAnsi="宋体"/>
          <w:color w:val="auto"/>
          <w:sz w:val="24"/>
          <w:highlight w:val="none"/>
        </w:rPr>
        <w:t>/丙方</w:t>
      </w:r>
      <w:r>
        <w:rPr>
          <w:rFonts w:ascii="宋体" w:hAnsi="宋体"/>
          <w:color w:val="auto"/>
          <w:sz w:val="24"/>
          <w:highlight w:val="none"/>
        </w:rPr>
        <w:t>承担。</w:t>
      </w:r>
      <w:r>
        <w:rPr>
          <w:rFonts w:hint="eastAsia" w:ascii="宋体" w:hAnsi="宋体"/>
          <w:b/>
          <w:bCs/>
          <w:i/>
          <w:iCs/>
          <w:color w:val="auto"/>
          <w:sz w:val="24"/>
          <w:highlight w:val="none"/>
        </w:rPr>
        <w:t>【请按实际支付方选择】</w:t>
      </w:r>
    </w:p>
    <w:p w14:paraId="30F7800D">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ascii="Times New Roman" w:hAnsi="Times New Roman" w:cs="Times New Roman"/>
          <w:color w:val="auto"/>
          <w:sz w:val="24"/>
          <w:highlight w:val="none"/>
        </w:rPr>
        <w:t>如乙方</w:t>
      </w:r>
      <w:r>
        <w:rPr>
          <w:rFonts w:hint="default" w:ascii="Times New Roman" w:hAnsi="Times New Roman" w:eastAsia="宋体" w:cs="Times New Roman"/>
          <w:color w:val="auto"/>
          <w:sz w:val="24"/>
          <w:highlight w:val="none"/>
        </w:rPr>
        <w:t>未按照《药物临床试验质量管理规范》、</w:t>
      </w:r>
      <w:r>
        <w:rPr>
          <w:rFonts w:ascii="Times New Roman" w:hAnsi="Times New Roman" w:cs="Times New Roman"/>
          <w:color w:val="auto"/>
          <w:sz w:val="24"/>
          <w:highlight w:val="none"/>
        </w:rPr>
        <w:t>违反本合同约定</w:t>
      </w:r>
      <w:r>
        <w:rPr>
          <w:rFonts w:hint="default" w:ascii="Times New Roman" w:hAnsi="Times New Roman" w:cs="Times New Roman"/>
          <w:color w:val="auto"/>
          <w:sz w:val="24"/>
          <w:highlight w:val="none"/>
        </w:rPr>
        <w:t>或无法完成合同约定内容的，</w:t>
      </w:r>
      <w:r>
        <w:rPr>
          <w:rFonts w:ascii="Times New Roman" w:hAnsi="Times New Roman" w:cs="Times New Roman"/>
          <w:color w:val="auto"/>
          <w:sz w:val="24"/>
          <w:highlight w:val="none"/>
        </w:rPr>
        <w:t>甲方有权要求乙方</w:t>
      </w:r>
      <w:r>
        <w:rPr>
          <w:rFonts w:hint="eastAsia" w:ascii="Times New Roman" w:hAnsi="Times New Roman" w:cs="Times New Roman"/>
          <w:color w:val="auto"/>
          <w:sz w:val="24"/>
          <w:highlight w:val="none"/>
          <w:lang w:val="en-US" w:eastAsia="zh-CN"/>
        </w:rPr>
        <w:t>合理</w:t>
      </w:r>
      <w:r>
        <w:rPr>
          <w:rFonts w:ascii="Times New Roman" w:hAnsi="Times New Roman" w:cs="Times New Roman"/>
          <w:color w:val="auto"/>
          <w:sz w:val="24"/>
          <w:highlight w:val="none"/>
        </w:rPr>
        <w:t>限期</w:t>
      </w:r>
      <w:r>
        <w:rPr>
          <w:rFonts w:hint="eastAsia" w:ascii="Times New Roman" w:hAnsi="Times New Roman" w:cs="Times New Roman"/>
          <w:color w:val="auto"/>
          <w:sz w:val="24"/>
          <w:highlight w:val="none"/>
          <w:lang w:val="en-US" w:eastAsia="zh-CN"/>
        </w:rPr>
        <w:t>内</w:t>
      </w:r>
      <w:r>
        <w:rPr>
          <w:rFonts w:ascii="Times New Roman" w:hAnsi="Times New Roman" w:cs="Times New Roman"/>
          <w:color w:val="auto"/>
          <w:sz w:val="24"/>
          <w:highlight w:val="none"/>
        </w:rPr>
        <w:t>予以纠正，乙方未按要求予以纠正或纠正后仍不符合要求的，及/或由于其它乙方原因导致乙方已无法按本合同要求完成项目服务工作的，甲方有权立即解除本合同</w:t>
      </w:r>
      <w:r>
        <w:rPr>
          <w:rFonts w:ascii="宋体" w:hAnsi="宋体"/>
          <w:color w:val="auto"/>
          <w:sz w:val="24"/>
          <w:highlight w:val="none"/>
        </w:rPr>
        <w:t>。</w:t>
      </w:r>
    </w:p>
    <w:p w14:paraId="0187B690">
      <w:pPr>
        <w:spacing w:line="360" w:lineRule="auto"/>
        <w:ind w:firstLine="480" w:firstLineChars="200"/>
        <w:rPr>
          <w:rFonts w:ascii="宋体" w:hAnsi="宋体"/>
          <w:color w:val="auto"/>
          <w:sz w:val="24"/>
          <w:highlight w:val="none"/>
        </w:rPr>
      </w:pPr>
      <w:r>
        <w:rPr>
          <w:rFonts w:ascii="宋体" w:hAnsi="宋体"/>
          <w:color w:val="auto"/>
          <w:sz w:val="24"/>
          <w:highlight w:val="none"/>
        </w:rPr>
        <w:t>(3)如果甲方无正当理由提前终止上述任务，</w:t>
      </w:r>
      <w:r>
        <w:rPr>
          <w:rFonts w:hint="eastAsia" w:ascii="宋体" w:hAnsi="宋体"/>
          <w:color w:val="auto"/>
          <w:sz w:val="24"/>
          <w:highlight w:val="none"/>
        </w:rPr>
        <w:t>甲</w:t>
      </w:r>
      <w:r>
        <w:rPr>
          <w:rFonts w:ascii="宋体" w:hAnsi="宋体"/>
          <w:color w:val="auto"/>
          <w:sz w:val="24"/>
          <w:highlight w:val="none"/>
        </w:rPr>
        <w:t>方</w:t>
      </w:r>
      <w:r>
        <w:rPr>
          <w:rFonts w:hint="eastAsia" w:ascii="宋体" w:hAnsi="宋体"/>
          <w:color w:val="auto"/>
          <w:sz w:val="24"/>
          <w:highlight w:val="none"/>
        </w:rPr>
        <w:t>/丙方</w:t>
      </w:r>
      <w:r>
        <w:rPr>
          <w:rFonts w:ascii="宋体" w:hAnsi="宋体"/>
          <w:color w:val="auto"/>
          <w:sz w:val="24"/>
          <w:highlight w:val="none"/>
        </w:rPr>
        <w:t>将根据已完成任务的比例按总金额相应比例支付给乙方。</w:t>
      </w:r>
    </w:p>
    <w:p w14:paraId="1023125E">
      <w:pPr>
        <w:spacing w:line="360" w:lineRule="auto"/>
        <w:ind w:firstLine="482" w:firstLineChars="200"/>
        <w:rPr>
          <w:rFonts w:ascii="宋体" w:hAnsi="宋体"/>
          <w:color w:val="auto"/>
          <w:sz w:val="24"/>
          <w:highlight w:val="none"/>
        </w:rPr>
      </w:pPr>
      <w:r>
        <w:rPr>
          <w:rFonts w:hint="eastAsia" w:ascii="宋体" w:hAnsi="宋体"/>
          <w:b/>
          <w:bCs/>
          <w:i/>
          <w:iCs/>
          <w:color w:val="auto"/>
          <w:sz w:val="24"/>
          <w:highlight w:val="none"/>
        </w:rPr>
        <w:t>【请按实际支付方选择】</w:t>
      </w:r>
    </w:p>
    <w:p w14:paraId="2A53B630">
      <w:pPr>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3.由于发生不能预见、不能避免不能克服的不可抗力事件（如由于</w:t>
      </w:r>
      <w:r>
        <w:rPr>
          <w:rFonts w:hint="eastAsia" w:ascii="宋体" w:hAnsi="宋体"/>
          <w:color w:val="auto"/>
          <w:sz w:val="24"/>
          <w:highlight w:val="none"/>
        </w:rPr>
        <w:t>临床</w:t>
      </w:r>
      <w:r>
        <w:rPr>
          <w:rFonts w:ascii="宋体" w:hAnsi="宋体"/>
          <w:color w:val="auto"/>
          <w:sz w:val="24"/>
          <w:highlight w:val="none"/>
        </w:rPr>
        <w:t>试验药物本身的不良反应导致试验中止），致使一方在履行本合同</w:t>
      </w:r>
      <w:r>
        <w:rPr>
          <w:rFonts w:hint="eastAsia" w:ascii="宋体" w:hAnsi="宋体"/>
          <w:color w:val="auto"/>
          <w:sz w:val="24"/>
          <w:highlight w:val="none"/>
        </w:rPr>
        <w:t>条款的</w:t>
      </w:r>
      <w:r>
        <w:rPr>
          <w:rFonts w:ascii="宋体" w:hAnsi="宋体"/>
          <w:color w:val="auto"/>
          <w:sz w:val="24"/>
          <w:highlight w:val="none"/>
        </w:rPr>
        <w:t>过程中遇到障碍或延误，受阻方只要满足下列所有条件，不应视为违反本合同</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是由于不可抗力事件直接造成的，且在不可抗力事件发生前受阻方不存在迟延履行相关义务的情形；</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ascii="宋体" w:hAnsi="宋体"/>
          <w:color w:val="auto"/>
          <w:sz w:val="24"/>
          <w:highlight w:val="none"/>
        </w:rPr>
        <w:t>受阻方已尽最大努力履行其义务并减少由于不可抗力事件给另一方造成的损失</w:t>
      </w:r>
      <w:r>
        <w:rPr>
          <w:rFonts w:hint="eastAsia" w:ascii="宋体" w:hAnsi="宋体"/>
          <w:color w:val="auto"/>
          <w:sz w:val="24"/>
          <w:highlight w:val="none"/>
        </w:rPr>
        <w:t>。</w:t>
      </w:r>
    </w:p>
    <w:p w14:paraId="4487A65B">
      <w:pPr>
        <w:spacing w:line="360" w:lineRule="auto"/>
        <w:ind w:firstLine="480" w:firstLineChars="200"/>
        <w:rPr>
          <w:rFonts w:ascii="宋体" w:hAnsi="宋体"/>
          <w:color w:val="auto"/>
          <w:sz w:val="24"/>
          <w:highlight w:val="none"/>
        </w:rPr>
      </w:pPr>
      <w:r>
        <w:rPr>
          <w:rFonts w:ascii="宋体" w:hAnsi="宋体"/>
          <w:color w:val="auto"/>
          <w:sz w:val="24"/>
          <w:highlight w:val="none"/>
        </w:rPr>
        <w:t>不可抗力事件发生时，受阻方应立即通知对方，并在事件发生后的十五天内提供有关事件的书面说明。不可抗力终止或被排除后，受阻方应继续履行本合同，并应尽快通知另一方。受阻方应可延长履行义务的时间，延长期应相当于不可抗力事件实际造成延误的时间。如果不可抗力事件的影响持续达三十日或以上时，</w:t>
      </w:r>
      <w:r>
        <w:rPr>
          <w:rFonts w:hint="eastAsia" w:ascii="宋体" w:hAnsi="宋体"/>
          <w:color w:val="auto"/>
          <w:sz w:val="24"/>
          <w:highlight w:val="none"/>
        </w:rPr>
        <w:t>三</w:t>
      </w:r>
      <w:r>
        <w:rPr>
          <w:rFonts w:ascii="宋体" w:hAnsi="宋体"/>
          <w:color w:val="auto"/>
          <w:sz w:val="24"/>
          <w:highlight w:val="none"/>
        </w:rPr>
        <w:t>方应根据该事件对合同履行的影响程度协商对本合同的修改或终止。如在一方发出书面通知之日起十日内</w:t>
      </w:r>
      <w:r>
        <w:rPr>
          <w:rFonts w:hint="eastAsia" w:ascii="宋体" w:hAnsi="宋体"/>
          <w:color w:val="auto"/>
          <w:sz w:val="24"/>
          <w:highlight w:val="none"/>
        </w:rPr>
        <w:t>三</w:t>
      </w:r>
      <w:r>
        <w:rPr>
          <w:rFonts w:ascii="宋体" w:hAnsi="宋体"/>
          <w:color w:val="auto"/>
          <w:sz w:val="24"/>
          <w:highlight w:val="none"/>
        </w:rPr>
        <w:t>方无法就此达成一致，任何一方均有权解除本合同而无需承担违约责任；如合同因此解除或终止的，则</w:t>
      </w:r>
      <w:r>
        <w:rPr>
          <w:rFonts w:hint="eastAsia" w:ascii="宋体" w:hAnsi="宋体"/>
          <w:color w:val="auto"/>
          <w:sz w:val="24"/>
          <w:highlight w:val="none"/>
        </w:rPr>
        <w:t>甲方</w:t>
      </w:r>
      <w:r>
        <w:rPr>
          <w:rFonts w:ascii="宋体" w:hAnsi="宋体"/>
          <w:color w:val="auto"/>
          <w:sz w:val="24"/>
          <w:highlight w:val="none"/>
        </w:rPr>
        <w:t>应按照乙方实际工作量结算服务费用。</w:t>
      </w:r>
    </w:p>
    <w:p w14:paraId="7DBF4813">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九、</w:t>
      </w:r>
      <w:r>
        <w:rPr>
          <w:rFonts w:ascii="宋体" w:hAnsi="宋体"/>
          <w:b/>
          <w:bCs/>
          <w:color w:val="auto"/>
          <w:sz w:val="24"/>
          <w:highlight w:val="none"/>
        </w:rPr>
        <w:t>争议解决</w:t>
      </w:r>
    </w:p>
    <w:p w14:paraId="2E00BF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如果任何争议或权利要求起因于本合同或与本合同有关或与本合同的解除、违约、终止或效力有关，都应由三方通过友好协商解决。如果出现争议，不能协商一致，三方同意</w:t>
      </w:r>
      <w:r>
        <w:rPr>
          <w:rFonts w:hint="default" w:ascii="Times New Roman" w:hAnsi="Times New Roman" w:cs="Times New Roman"/>
          <w:color w:val="auto"/>
          <w:sz w:val="24"/>
          <w:highlight w:val="none"/>
        </w:rPr>
        <w:t>提交</w:t>
      </w:r>
      <w:r>
        <w:rPr>
          <w:rFonts w:hint="eastAsia" w:ascii="Times New Roman" w:hAnsi="Times New Roman" w:cs="Times New Roman"/>
          <w:color w:val="auto"/>
          <w:sz w:val="24"/>
          <w:highlight w:val="none"/>
          <w:lang w:val="en-US" w:eastAsia="zh-CN"/>
        </w:rPr>
        <w:t>乙方</w:t>
      </w:r>
      <w:r>
        <w:rPr>
          <w:rFonts w:hint="default" w:ascii="Times New Roman" w:hAnsi="Times New Roman" w:cs="Times New Roman"/>
          <w:color w:val="auto"/>
          <w:sz w:val="24"/>
          <w:highlight w:val="none"/>
          <w:lang w:eastAsia="zh-CN"/>
        </w:rPr>
        <w:t>所在地人民法院诉讼解决</w:t>
      </w:r>
      <w:r>
        <w:rPr>
          <w:rFonts w:hint="eastAsia" w:ascii="宋体" w:hAnsi="宋体"/>
          <w:color w:val="auto"/>
          <w:sz w:val="24"/>
          <w:highlight w:val="none"/>
        </w:rPr>
        <w:t>。</w:t>
      </w:r>
    </w:p>
    <w:p w14:paraId="541E448C">
      <w:pPr>
        <w:spacing w:line="360" w:lineRule="auto"/>
        <w:rPr>
          <w:rFonts w:ascii="宋体" w:hAnsi="宋体"/>
          <w:b/>
          <w:bCs/>
          <w:color w:val="auto"/>
          <w:sz w:val="24"/>
          <w:highlight w:val="none"/>
        </w:rPr>
      </w:pP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十、其他</w:t>
      </w:r>
    </w:p>
    <w:p w14:paraId="09DF43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任何一方变更联系方式的，应当及时以书面形式通知另</w:t>
      </w:r>
      <w:r>
        <w:rPr>
          <w:rFonts w:hint="eastAsia" w:ascii="宋体" w:hAnsi="宋体"/>
          <w:color w:val="auto"/>
          <w:sz w:val="24"/>
          <w:highlight w:val="none"/>
          <w:lang w:val="en-US" w:eastAsia="zh-CN"/>
        </w:rPr>
        <w:t>两</w:t>
      </w:r>
      <w:r>
        <w:rPr>
          <w:rFonts w:hint="eastAsia" w:ascii="宋体" w:hAnsi="宋体"/>
          <w:color w:val="auto"/>
          <w:sz w:val="24"/>
          <w:highlight w:val="none"/>
        </w:rPr>
        <w:t>方。未及时通知并影响本合同履行或造成损失的一方，应承担相应的责任。</w:t>
      </w:r>
    </w:p>
    <w:p w14:paraId="717F0588">
      <w:pPr>
        <w:spacing w:line="360" w:lineRule="auto"/>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本合同</w:t>
      </w:r>
      <w:r>
        <w:rPr>
          <w:rFonts w:ascii="宋体" w:hAnsi="宋体"/>
          <w:color w:val="auto"/>
          <w:sz w:val="24"/>
          <w:highlight w:val="none"/>
        </w:rPr>
        <w:t>原件一式</w:t>
      </w:r>
      <w:r>
        <w:rPr>
          <w:rFonts w:hint="eastAsia" w:ascii="宋体" w:hAnsi="宋体"/>
          <w:color w:val="auto"/>
          <w:sz w:val="24"/>
          <w:highlight w:val="none"/>
        </w:rPr>
        <w:t>**</w:t>
      </w:r>
      <w:r>
        <w:rPr>
          <w:rFonts w:ascii="宋体" w:hAnsi="宋体"/>
          <w:color w:val="auto"/>
          <w:sz w:val="24"/>
          <w:highlight w:val="none"/>
        </w:rPr>
        <w:t>份，</w:t>
      </w:r>
      <w:r>
        <w:rPr>
          <w:rFonts w:hint="eastAsia" w:ascii="宋体" w:hAnsi="宋体"/>
          <w:color w:val="auto"/>
          <w:sz w:val="24"/>
          <w:highlight w:val="none"/>
        </w:rPr>
        <w:t>甲</w:t>
      </w:r>
      <w:r>
        <w:rPr>
          <w:rFonts w:ascii="宋体" w:hAnsi="宋体"/>
          <w:color w:val="auto"/>
          <w:sz w:val="24"/>
          <w:highlight w:val="none"/>
        </w:rPr>
        <w:t>方执</w:t>
      </w:r>
      <w:r>
        <w:rPr>
          <w:rFonts w:hint="eastAsia" w:ascii="宋体" w:hAnsi="宋体"/>
          <w:color w:val="auto"/>
          <w:sz w:val="24"/>
          <w:highlight w:val="none"/>
        </w:rPr>
        <w:t>**</w:t>
      </w:r>
      <w:r>
        <w:rPr>
          <w:rFonts w:ascii="宋体" w:hAnsi="宋体"/>
          <w:color w:val="auto"/>
          <w:sz w:val="24"/>
          <w:highlight w:val="none"/>
        </w:rPr>
        <w:t>份</w:t>
      </w:r>
      <w:r>
        <w:rPr>
          <w:rFonts w:hint="eastAsia" w:ascii="宋体" w:hAnsi="宋体"/>
          <w:color w:val="auto"/>
          <w:sz w:val="24"/>
          <w:highlight w:val="none"/>
        </w:rPr>
        <w:t>，乙</w:t>
      </w:r>
      <w:r>
        <w:rPr>
          <w:rFonts w:ascii="宋体" w:hAnsi="宋体"/>
          <w:color w:val="auto"/>
          <w:sz w:val="24"/>
          <w:highlight w:val="none"/>
        </w:rPr>
        <w:t>方执叁份</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丙</w:t>
      </w:r>
      <w:r>
        <w:rPr>
          <w:rFonts w:ascii="宋体" w:hAnsi="宋体"/>
          <w:color w:val="auto"/>
          <w:sz w:val="24"/>
          <w:highlight w:val="none"/>
        </w:rPr>
        <w:t>方执</w:t>
      </w:r>
      <w:r>
        <w:rPr>
          <w:rFonts w:hint="eastAsia" w:ascii="宋体" w:hAnsi="宋体"/>
          <w:color w:val="auto"/>
          <w:sz w:val="24"/>
          <w:highlight w:val="none"/>
        </w:rPr>
        <w:t>**</w:t>
      </w:r>
      <w:r>
        <w:rPr>
          <w:rFonts w:ascii="宋体" w:hAnsi="宋体"/>
          <w:color w:val="auto"/>
          <w:sz w:val="24"/>
          <w:highlight w:val="none"/>
        </w:rPr>
        <w:t>份</w:t>
      </w:r>
      <w:r>
        <w:rPr>
          <w:rFonts w:hint="eastAsia" w:ascii="宋体" w:hAnsi="宋体"/>
          <w:color w:val="auto"/>
          <w:sz w:val="24"/>
          <w:highlight w:val="none"/>
        </w:rPr>
        <w:t>。所有合同</w:t>
      </w:r>
      <w:r>
        <w:rPr>
          <w:rFonts w:ascii="宋体" w:hAnsi="宋体"/>
          <w:color w:val="auto"/>
          <w:sz w:val="24"/>
          <w:highlight w:val="none"/>
        </w:rPr>
        <w:t>具有同等法律效力。</w:t>
      </w:r>
    </w:p>
    <w:p w14:paraId="2313988A">
      <w:pPr>
        <w:spacing w:line="360" w:lineRule="auto"/>
        <w:rPr>
          <w:rFonts w:ascii="宋体" w:hAnsi="宋体"/>
          <w:color w:val="auto"/>
          <w:sz w:val="24"/>
          <w:highlight w:val="none"/>
        </w:rPr>
      </w:pPr>
      <w:r>
        <w:rPr>
          <w:rFonts w:ascii="宋体" w:hAnsi="宋体"/>
          <w:color w:val="auto"/>
          <w:sz w:val="24"/>
          <w:highlight w:val="none"/>
        </w:rPr>
        <w:t xml:space="preserve">    3.如需对本合同做任何修改或补充，须由</w:t>
      </w:r>
      <w:r>
        <w:rPr>
          <w:rFonts w:hint="eastAsia" w:ascii="宋体" w:hAnsi="宋体"/>
          <w:color w:val="auto"/>
          <w:sz w:val="24"/>
          <w:highlight w:val="none"/>
          <w:lang w:val="en-US" w:eastAsia="zh-CN"/>
        </w:rPr>
        <w:t>三</w:t>
      </w:r>
      <w:r>
        <w:rPr>
          <w:rFonts w:ascii="宋体" w:hAnsi="宋体"/>
          <w:color w:val="auto"/>
          <w:sz w:val="24"/>
          <w:highlight w:val="none"/>
        </w:rPr>
        <w:t>方</w:t>
      </w:r>
      <w:r>
        <w:rPr>
          <w:rFonts w:hint="eastAsia" w:ascii="宋体" w:hAnsi="宋体"/>
          <w:color w:val="auto"/>
          <w:sz w:val="24"/>
          <w:highlight w:val="none"/>
        </w:rPr>
        <w:t>友好协商并</w:t>
      </w:r>
      <w:r>
        <w:rPr>
          <w:rFonts w:ascii="宋体" w:hAnsi="宋体"/>
          <w:color w:val="auto"/>
          <w:sz w:val="24"/>
          <w:highlight w:val="none"/>
        </w:rPr>
        <w:t>以书面</w:t>
      </w:r>
      <w:r>
        <w:rPr>
          <w:rFonts w:hint="eastAsia" w:ascii="宋体" w:hAnsi="宋体"/>
          <w:color w:val="auto"/>
          <w:sz w:val="24"/>
          <w:highlight w:val="none"/>
        </w:rPr>
        <w:t>形式确定</w:t>
      </w:r>
      <w:r>
        <w:rPr>
          <w:rFonts w:ascii="宋体" w:hAnsi="宋体"/>
          <w:color w:val="auto"/>
          <w:sz w:val="24"/>
          <w:highlight w:val="none"/>
        </w:rPr>
        <w:t>方为有效。修改或补充文件与本合同有不一致的，以修改或补充文件为准。</w:t>
      </w:r>
    </w:p>
    <w:p w14:paraId="66E9450F">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十一、费用预算明细及</w:t>
      </w:r>
      <w:r>
        <w:rPr>
          <w:rFonts w:ascii="宋体" w:hAnsi="宋体"/>
          <w:b/>
          <w:bCs/>
          <w:color w:val="auto"/>
          <w:sz w:val="24"/>
          <w:highlight w:val="none"/>
        </w:rPr>
        <w:t>支付方式</w:t>
      </w:r>
    </w:p>
    <w:p w14:paraId="0CD0D596">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费用</w:t>
      </w:r>
      <w:r>
        <w:rPr>
          <w:rFonts w:ascii="宋体" w:hAnsi="宋体"/>
          <w:color w:val="auto"/>
          <w:sz w:val="24"/>
          <w:highlight w:val="none"/>
        </w:rPr>
        <w:t>总</w:t>
      </w:r>
      <w:r>
        <w:rPr>
          <w:rFonts w:hint="eastAsia" w:ascii="宋体" w:hAnsi="宋体"/>
          <w:color w:val="auto"/>
          <w:sz w:val="24"/>
          <w:highlight w:val="none"/>
        </w:rPr>
        <w:t>金</w:t>
      </w:r>
      <w:r>
        <w:rPr>
          <w:rFonts w:ascii="宋体" w:hAnsi="宋体"/>
          <w:color w:val="auto"/>
          <w:sz w:val="24"/>
          <w:highlight w:val="none"/>
        </w:rPr>
        <w:t>额为：人民币xxxx.xx元。</w:t>
      </w:r>
      <w:r>
        <w:rPr>
          <w:rFonts w:hint="eastAsia" w:ascii="宋体" w:hAnsi="宋体"/>
          <w:color w:val="auto"/>
          <w:sz w:val="24"/>
          <w:highlight w:val="none"/>
        </w:rPr>
        <w:t xml:space="preserve"> </w:t>
      </w:r>
      <w:r>
        <w:rPr>
          <w:rFonts w:ascii="宋体" w:hAnsi="宋体"/>
          <w:color w:val="auto"/>
          <w:sz w:val="24"/>
          <w:highlight w:val="none"/>
        </w:rPr>
        <w:t>具体费用明细如下，清单详见附件：</w:t>
      </w:r>
    </w:p>
    <w:p w14:paraId="3B9E45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1）研究者观察费：每例预计xxxx.xx元，根据临床试验方案，乙方负责完成临床观察病例xx例，共计人民币xxxx.xx元。</w:t>
      </w:r>
    </w:p>
    <w:p w14:paraId="08DBD22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）受试者检查费：每例xxxx.xx元，共计xxxx.xx元。</w:t>
      </w:r>
    </w:p>
    <w:p w14:paraId="4CFCC52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受试者补助：每例xxxx.xx元</w:t>
      </w:r>
      <w:r>
        <w:rPr>
          <w:rFonts w:hint="eastAsia" w:ascii="宋体" w:hAnsi="宋体"/>
          <w:color w:val="auto"/>
          <w:sz w:val="24"/>
          <w:highlight w:val="none"/>
        </w:rPr>
        <w:t>，</w:t>
      </w:r>
      <w:r>
        <w:rPr>
          <w:rFonts w:ascii="宋体" w:hAnsi="宋体"/>
          <w:color w:val="auto"/>
          <w:sz w:val="24"/>
          <w:highlight w:val="none"/>
        </w:rPr>
        <w:t>每例</w:t>
      </w:r>
      <w:r>
        <w:rPr>
          <w:rFonts w:hint="eastAsia" w:ascii="宋体" w:hAnsi="宋体"/>
          <w:color w:val="auto"/>
          <w:sz w:val="24"/>
          <w:highlight w:val="none"/>
        </w:rPr>
        <w:t>交通费</w:t>
      </w:r>
      <w:r>
        <w:rPr>
          <w:rFonts w:ascii="宋体" w:hAnsi="宋体"/>
          <w:color w:val="auto"/>
          <w:sz w:val="24"/>
          <w:highlight w:val="none"/>
        </w:rPr>
        <w:t>xxxx.xx元，每例</w:t>
      </w:r>
      <w:r>
        <w:rPr>
          <w:rFonts w:hint="eastAsia" w:ascii="宋体" w:hAnsi="宋体"/>
          <w:color w:val="auto"/>
          <w:sz w:val="24"/>
          <w:highlight w:val="none"/>
        </w:rPr>
        <w:t>营养费补助</w:t>
      </w:r>
      <w:r>
        <w:rPr>
          <w:rFonts w:ascii="宋体" w:hAnsi="宋体"/>
          <w:color w:val="auto"/>
          <w:sz w:val="24"/>
          <w:highlight w:val="none"/>
        </w:rPr>
        <w:t>xxxx.xx元，共计xxxx.xx元。（</w:t>
      </w:r>
      <w:r>
        <w:rPr>
          <w:rFonts w:hint="eastAsia" w:ascii="宋体" w:hAnsi="宋体"/>
          <w:color w:val="auto"/>
          <w:sz w:val="24"/>
          <w:highlight w:val="none"/>
        </w:rPr>
        <w:t>支付过程中如产生</w:t>
      </w:r>
      <w:r>
        <w:rPr>
          <w:rFonts w:ascii="宋体" w:hAnsi="宋体"/>
          <w:color w:val="auto"/>
          <w:sz w:val="24"/>
          <w:highlight w:val="none"/>
        </w:rPr>
        <w:t>受试者的</w:t>
      </w:r>
      <w:r>
        <w:rPr>
          <w:rFonts w:hint="eastAsia" w:ascii="宋体" w:hAnsi="宋体"/>
          <w:color w:val="auto"/>
          <w:sz w:val="24"/>
          <w:highlight w:val="none"/>
        </w:rPr>
        <w:t>个人所得税，由甲方承担</w:t>
      </w:r>
      <w:r>
        <w:rPr>
          <w:rFonts w:ascii="宋体" w:hAnsi="宋体"/>
          <w:color w:val="auto"/>
          <w:sz w:val="24"/>
          <w:highlight w:val="none"/>
        </w:rPr>
        <w:t>）。</w:t>
      </w:r>
    </w:p>
    <w:p w14:paraId="1F7B449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机构</w:t>
      </w:r>
      <w:r>
        <w:rPr>
          <w:rFonts w:hint="eastAsia" w:ascii="宋体" w:hAnsi="宋体"/>
          <w:color w:val="auto"/>
          <w:sz w:val="24"/>
          <w:highlight w:val="none"/>
        </w:rPr>
        <w:t>管理费：</w:t>
      </w:r>
      <w:r>
        <w:rPr>
          <w:rFonts w:ascii="宋体" w:hAnsi="宋体"/>
          <w:color w:val="auto"/>
          <w:sz w:val="24"/>
          <w:highlight w:val="none"/>
        </w:rPr>
        <w:t>xxxx.xx元。</w:t>
      </w:r>
      <w:r>
        <w:rPr>
          <w:rFonts w:hint="eastAsia" w:ascii="宋体" w:hAnsi="宋体"/>
          <w:color w:val="auto"/>
          <w:sz w:val="24"/>
          <w:highlight w:val="none"/>
        </w:rPr>
        <w:t>计算公式为：管理费=（研究者观察费/</w:t>
      </w:r>
      <w:r>
        <w:rPr>
          <w:rFonts w:ascii="宋体" w:hAnsi="宋体"/>
          <w:color w:val="auto"/>
          <w:sz w:val="24"/>
          <w:highlight w:val="none"/>
        </w:rPr>
        <w:t>0.7</w:t>
      </w:r>
      <w:r>
        <w:rPr>
          <w:rFonts w:hint="eastAsia" w:ascii="宋体" w:hAnsi="宋体"/>
          <w:color w:val="auto"/>
          <w:sz w:val="24"/>
          <w:highlight w:val="none"/>
        </w:rPr>
        <w:t>）</w:t>
      </w:r>
      <w:r>
        <w:rPr>
          <w:rFonts w:ascii="宋体" w:hAnsi="宋体"/>
          <w:color w:val="auto"/>
          <w:sz w:val="24"/>
          <w:highlight w:val="none"/>
        </w:rPr>
        <w:t>*30</w:t>
      </w:r>
      <w:r>
        <w:rPr>
          <w:rFonts w:hint="eastAsia" w:ascii="宋体" w:hAnsi="宋体"/>
          <w:color w:val="auto"/>
          <w:sz w:val="24"/>
          <w:highlight w:val="none"/>
        </w:rPr>
        <w:t>%。</w:t>
      </w:r>
    </w:p>
    <w:p w14:paraId="0F4AF5D6">
      <w:pPr>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资料保存费：临床试验项目资料</w:t>
      </w:r>
      <w:r>
        <w:rPr>
          <w:rFonts w:hint="eastAsia" w:ascii="宋体" w:hAnsi="宋体"/>
          <w:color w:val="auto"/>
          <w:sz w:val="24"/>
          <w:highlight w:val="none"/>
        </w:rPr>
        <w:t>在临床试验结束后</w:t>
      </w:r>
      <w:r>
        <w:rPr>
          <w:rFonts w:ascii="宋体" w:hAnsi="宋体"/>
          <w:color w:val="auto"/>
          <w:sz w:val="24"/>
          <w:highlight w:val="none"/>
        </w:rPr>
        <w:t>免费保存5</w:t>
      </w:r>
      <w:r>
        <w:rPr>
          <w:rFonts w:hint="eastAsia" w:ascii="宋体" w:hAnsi="宋体"/>
          <w:color w:val="auto"/>
          <w:sz w:val="24"/>
          <w:highlight w:val="none"/>
        </w:rPr>
        <w:t>年，</w:t>
      </w:r>
      <w:r>
        <w:rPr>
          <w:rFonts w:ascii="宋体" w:hAnsi="宋体"/>
          <w:color w:val="auto"/>
          <w:sz w:val="24"/>
          <w:highlight w:val="none"/>
        </w:rPr>
        <w:t xml:space="preserve">到期前3个月甲方需与乙方取得联系商讨保存事宜，并由甲方出具资料回收或续存公函。资料如需继续保存，收费标准为2000元/年。 </w:t>
      </w:r>
    </w:p>
    <w:p w14:paraId="252256E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（6）临床试验药品管理费：临床试验药品管理费预付款</w:t>
      </w:r>
      <w:r>
        <w:rPr>
          <w:rFonts w:ascii="宋体" w:hAnsi="宋体"/>
          <w:color w:val="auto"/>
          <w:sz w:val="24"/>
          <w:highlight w:val="none"/>
        </w:rPr>
        <w:t>xxxx.xx</w:t>
      </w:r>
      <w:r>
        <w:rPr>
          <w:rFonts w:hint="eastAsia" w:ascii="宋体" w:hAnsi="宋体"/>
          <w:color w:val="auto"/>
          <w:sz w:val="24"/>
          <w:highlight w:val="none"/>
        </w:rPr>
        <w:t>元。根据实际贮存种类、条件及空间等结算临床试验药品管理费，在项目全部药品从临床试验药房退还后结算尾款。</w:t>
      </w:r>
    </w:p>
    <w:p w14:paraId="14AD80E0">
      <w:pPr>
        <w:spacing w:line="360" w:lineRule="auto"/>
        <w:ind w:firstLine="482" w:firstLineChars="200"/>
        <w:rPr>
          <w:rFonts w:ascii="宋体" w:hAnsi="宋体"/>
          <w:color w:val="auto"/>
          <w:sz w:val="24"/>
          <w:highlight w:val="none"/>
        </w:rPr>
      </w:pPr>
      <w:r>
        <w:rPr>
          <w:rFonts w:hint="eastAsia" w:ascii="宋体" w:hAnsi="宋体"/>
          <w:b/>
          <w:bCs/>
          <w:i/>
          <w:iCs/>
          <w:color w:val="auto"/>
          <w:sz w:val="24"/>
          <w:highlight w:val="none"/>
        </w:rPr>
        <w:t>【参见附件二：临床试验药品管理费收费标准】</w:t>
      </w:r>
    </w:p>
    <w:p w14:paraId="302FAA96">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立项审查费：30</w:t>
      </w:r>
      <w:bookmarkStart w:id="1" w:name="_GoBack"/>
      <w:bookmarkEnd w:id="1"/>
      <w:r>
        <w:rPr>
          <w:rFonts w:hint="eastAsia" w:ascii="宋体" w:hAnsi="宋体"/>
          <w:color w:val="auto"/>
          <w:sz w:val="24"/>
          <w:highlight w:val="none"/>
          <w:lang w:val="en-US" w:eastAsia="zh-CN"/>
        </w:rPr>
        <w:t>00元/项目。</w:t>
      </w:r>
    </w:p>
    <w:p w14:paraId="7697C587">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（8）CRC培训及管理费：按CRC服务费10%收取，可根据医院临床试验机构管理费提取细则调整。</w:t>
      </w:r>
    </w:p>
    <w:p w14:paraId="5D30823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）附加费及税费：共计</w:t>
      </w:r>
      <w:r>
        <w:rPr>
          <w:rFonts w:ascii="宋体" w:hAnsi="宋体"/>
          <w:color w:val="auto"/>
          <w:sz w:val="24"/>
          <w:highlight w:val="none"/>
        </w:rPr>
        <w:t>x</w:t>
      </w:r>
      <w:r>
        <w:rPr>
          <w:rFonts w:hint="eastAsia" w:ascii="宋体" w:hAnsi="宋体"/>
          <w:color w:val="auto"/>
          <w:sz w:val="24"/>
          <w:highlight w:val="none"/>
        </w:rPr>
        <w:t>x</w:t>
      </w:r>
      <w:r>
        <w:rPr>
          <w:rFonts w:ascii="宋体" w:hAnsi="宋体"/>
          <w:color w:val="auto"/>
          <w:sz w:val="24"/>
          <w:highlight w:val="none"/>
        </w:rPr>
        <w:t>xx.xx元</w:t>
      </w:r>
      <w:r>
        <w:rPr>
          <w:rFonts w:hint="eastAsia" w:ascii="宋体" w:hAnsi="宋体"/>
          <w:color w:val="auto"/>
          <w:sz w:val="24"/>
          <w:highlight w:val="none"/>
        </w:rPr>
        <w:t>。其中附加费</w:t>
      </w:r>
      <w:r>
        <w:rPr>
          <w:rFonts w:ascii="宋体" w:hAnsi="宋体"/>
          <w:color w:val="auto"/>
          <w:sz w:val="24"/>
          <w:highlight w:val="none"/>
        </w:rPr>
        <w:t>x</w:t>
      </w:r>
      <w:r>
        <w:rPr>
          <w:rFonts w:hint="eastAsia" w:ascii="宋体" w:hAnsi="宋体"/>
          <w:color w:val="auto"/>
          <w:sz w:val="24"/>
          <w:highlight w:val="none"/>
        </w:rPr>
        <w:t>xx</w:t>
      </w:r>
      <w:r>
        <w:rPr>
          <w:rFonts w:ascii="宋体" w:hAnsi="宋体"/>
          <w:color w:val="auto"/>
          <w:sz w:val="24"/>
          <w:highlight w:val="none"/>
        </w:rPr>
        <w:t>x.xx元</w:t>
      </w:r>
      <w:r>
        <w:rPr>
          <w:rFonts w:hint="eastAsia" w:ascii="宋体" w:hAnsi="宋体"/>
          <w:color w:val="auto"/>
          <w:sz w:val="24"/>
          <w:highlight w:val="none"/>
        </w:rPr>
        <w:t>，税费xx</w:t>
      </w:r>
      <w:r>
        <w:rPr>
          <w:rFonts w:ascii="宋体" w:hAnsi="宋体"/>
          <w:color w:val="auto"/>
          <w:sz w:val="24"/>
          <w:highlight w:val="none"/>
        </w:rPr>
        <w:t>xx.xx元</w:t>
      </w:r>
      <w:r>
        <w:rPr>
          <w:rFonts w:hint="eastAsia" w:ascii="宋体" w:hAnsi="宋体"/>
          <w:color w:val="auto"/>
          <w:sz w:val="24"/>
          <w:highlight w:val="none"/>
        </w:rPr>
        <w:t>。</w:t>
      </w:r>
    </w:p>
    <w:p w14:paraId="5699253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附加费=（</w:t>
      </w:r>
      <w:r>
        <w:rPr>
          <w:rFonts w:ascii="宋体" w:hAnsi="宋体"/>
          <w:color w:val="auto"/>
          <w:sz w:val="24"/>
          <w:highlight w:val="none"/>
        </w:rPr>
        <w:t>研究者</w:t>
      </w:r>
      <w:r>
        <w:rPr>
          <w:rFonts w:hint="eastAsia" w:ascii="宋体" w:hAnsi="宋体"/>
          <w:color w:val="auto"/>
          <w:sz w:val="24"/>
          <w:highlight w:val="none"/>
        </w:rPr>
        <w:t>观察费+</w:t>
      </w:r>
      <w:r>
        <w:rPr>
          <w:rFonts w:ascii="宋体" w:hAnsi="宋体"/>
          <w:color w:val="auto"/>
          <w:sz w:val="24"/>
          <w:highlight w:val="none"/>
        </w:rPr>
        <w:t>受试者检查费</w:t>
      </w:r>
      <w:r>
        <w:rPr>
          <w:rFonts w:hint="eastAsia" w:ascii="宋体" w:hAnsi="宋体"/>
          <w:color w:val="auto"/>
          <w:sz w:val="24"/>
          <w:highlight w:val="none"/>
        </w:rPr>
        <w:t>+</w:t>
      </w:r>
      <w:r>
        <w:rPr>
          <w:rFonts w:ascii="宋体" w:hAnsi="宋体"/>
          <w:color w:val="auto"/>
          <w:sz w:val="24"/>
          <w:highlight w:val="none"/>
        </w:rPr>
        <w:t>受试者补助+</w:t>
      </w:r>
      <w:r>
        <w:rPr>
          <w:rFonts w:hint="eastAsia" w:ascii="宋体" w:hAnsi="宋体"/>
          <w:color w:val="auto"/>
          <w:sz w:val="24"/>
          <w:highlight w:val="none"/>
        </w:rPr>
        <w:t>管理费</w:t>
      </w:r>
      <w:r>
        <w:rPr>
          <w:rFonts w:ascii="宋体" w:hAnsi="宋体"/>
          <w:color w:val="auto"/>
          <w:sz w:val="24"/>
          <w:highlight w:val="none"/>
        </w:rPr>
        <w:t>+</w:t>
      </w:r>
      <w:r>
        <w:rPr>
          <w:rFonts w:hint="eastAsia" w:ascii="宋体" w:hAnsi="宋体"/>
          <w:color w:val="auto"/>
          <w:sz w:val="24"/>
          <w:highlight w:val="none"/>
        </w:rPr>
        <w:t>临床试验药品管理费+</w:t>
      </w:r>
      <w:r>
        <w:rPr>
          <w:rFonts w:ascii="宋体" w:hAnsi="宋体"/>
          <w:color w:val="auto"/>
          <w:sz w:val="24"/>
          <w:highlight w:val="none"/>
        </w:rPr>
        <w:t>资料保存费</w:t>
      </w:r>
      <w:r>
        <w:rPr>
          <w:rFonts w:hint="eastAsia" w:ascii="宋体" w:hAnsi="宋体"/>
          <w:color w:val="auto"/>
          <w:sz w:val="24"/>
          <w:highlight w:val="none"/>
        </w:rPr>
        <w:t>）/(1-0.72%)*0</w:t>
      </w:r>
      <w:r>
        <w:rPr>
          <w:rFonts w:ascii="宋体" w:hAnsi="宋体"/>
          <w:color w:val="auto"/>
          <w:sz w:val="24"/>
          <w:highlight w:val="none"/>
        </w:rPr>
        <w:t>.72</w:t>
      </w:r>
      <w:r>
        <w:rPr>
          <w:rFonts w:hint="eastAsia" w:ascii="宋体" w:hAnsi="宋体"/>
          <w:color w:val="auto"/>
          <w:sz w:val="24"/>
          <w:highlight w:val="none"/>
        </w:rPr>
        <w:t>%</w:t>
      </w:r>
      <w:r>
        <w:rPr>
          <w:rFonts w:ascii="宋体" w:hAnsi="宋体"/>
          <w:color w:val="auto"/>
          <w:sz w:val="24"/>
          <w:highlight w:val="none"/>
        </w:rPr>
        <w:t>。</w:t>
      </w:r>
    </w:p>
    <w:p w14:paraId="62849BE2">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税费=（</w:t>
      </w:r>
      <w:r>
        <w:rPr>
          <w:rFonts w:ascii="宋体" w:hAnsi="宋体"/>
          <w:color w:val="auto"/>
          <w:sz w:val="24"/>
          <w:highlight w:val="none"/>
        </w:rPr>
        <w:t>研究者</w:t>
      </w:r>
      <w:r>
        <w:rPr>
          <w:rFonts w:hint="eastAsia" w:ascii="宋体" w:hAnsi="宋体"/>
          <w:color w:val="auto"/>
          <w:sz w:val="24"/>
          <w:highlight w:val="none"/>
        </w:rPr>
        <w:t>观察费+</w:t>
      </w:r>
      <w:r>
        <w:rPr>
          <w:rFonts w:ascii="宋体" w:hAnsi="宋体"/>
          <w:color w:val="auto"/>
          <w:sz w:val="24"/>
          <w:highlight w:val="none"/>
        </w:rPr>
        <w:t>受试者检查费</w:t>
      </w:r>
      <w:r>
        <w:rPr>
          <w:rFonts w:hint="eastAsia" w:ascii="宋体" w:hAnsi="宋体"/>
          <w:color w:val="auto"/>
          <w:sz w:val="24"/>
          <w:highlight w:val="none"/>
        </w:rPr>
        <w:t>+</w:t>
      </w:r>
      <w:r>
        <w:rPr>
          <w:rFonts w:ascii="宋体" w:hAnsi="宋体"/>
          <w:color w:val="auto"/>
          <w:sz w:val="24"/>
          <w:highlight w:val="none"/>
        </w:rPr>
        <w:t>受试者补助+</w:t>
      </w:r>
      <w:r>
        <w:rPr>
          <w:rFonts w:hint="eastAsia" w:ascii="宋体" w:hAnsi="宋体"/>
          <w:color w:val="auto"/>
          <w:sz w:val="24"/>
          <w:highlight w:val="none"/>
        </w:rPr>
        <w:t>管理费</w:t>
      </w:r>
      <w:r>
        <w:rPr>
          <w:rFonts w:ascii="宋体" w:hAnsi="宋体"/>
          <w:color w:val="auto"/>
          <w:sz w:val="24"/>
          <w:highlight w:val="none"/>
        </w:rPr>
        <w:t>+</w:t>
      </w:r>
      <w:r>
        <w:rPr>
          <w:rFonts w:hint="eastAsia" w:ascii="宋体" w:hAnsi="宋体"/>
          <w:color w:val="auto"/>
          <w:sz w:val="24"/>
          <w:highlight w:val="none"/>
        </w:rPr>
        <w:t>临床试验药品管理费+</w:t>
      </w:r>
      <w:r>
        <w:rPr>
          <w:rFonts w:ascii="宋体" w:hAnsi="宋体"/>
          <w:color w:val="auto"/>
          <w:sz w:val="24"/>
          <w:highlight w:val="none"/>
        </w:rPr>
        <w:t>资料保存费</w:t>
      </w:r>
      <w:r>
        <w:rPr>
          <w:rFonts w:hint="eastAsia" w:ascii="宋体" w:hAnsi="宋体"/>
          <w:color w:val="auto"/>
          <w:sz w:val="24"/>
          <w:highlight w:val="none"/>
        </w:rPr>
        <w:t>+附加费）*6%</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以财务开具发票时实际产生的费用为准</w:t>
      </w:r>
      <w:r>
        <w:rPr>
          <w:rFonts w:hint="eastAsia" w:ascii="宋体" w:hAnsi="宋体"/>
          <w:color w:val="auto"/>
          <w:sz w:val="24"/>
          <w:highlight w:val="none"/>
          <w:lang w:eastAsia="zh-CN"/>
        </w:rPr>
        <w:t>）。</w:t>
      </w:r>
    </w:p>
    <w:p w14:paraId="4B9927A2">
      <w:pPr>
        <w:spacing w:line="360" w:lineRule="auto"/>
        <w:rPr>
          <w:rFonts w:ascii="宋体" w:hAnsi="宋体"/>
          <w:color w:val="auto"/>
          <w:sz w:val="24"/>
          <w:highlight w:val="none"/>
        </w:rPr>
      </w:pPr>
      <w:r>
        <w:rPr>
          <w:rFonts w:hint="eastAsia" w:ascii="宋体" w:hAnsi="宋体"/>
          <w:bCs/>
          <w:i/>
          <w:iCs/>
          <w:color w:val="auto"/>
          <w:sz w:val="24"/>
          <w:highlight w:val="none"/>
        </w:rPr>
        <w:t xml:space="preserve">     </w:t>
      </w:r>
      <w:r>
        <w:rPr>
          <w:rFonts w:hint="eastAsia" w:ascii="宋体" w:hAnsi="宋体"/>
          <w:color w:val="auto"/>
          <w:sz w:val="24"/>
          <w:highlight w:val="none"/>
        </w:rPr>
        <w:t>其中，筛选失败病例只支付</w:t>
      </w:r>
      <w:r>
        <w:rPr>
          <w:rFonts w:ascii="宋体" w:hAnsi="宋体"/>
          <w:color w:val="auto"/>
          <w:sz w:val="24"/>
          <w:highlight w:val="none"/>
        </w:rPr>
        <w:t>筛选期研究者</w:t>
      </w:r>
      <w:r>
        <w:rPr>
          <w:rFonts w:hint="eastAsia" w:ascii="宋体" w:hAnsi="宋体"/>
          <w:color w:val="auto"/>
          <w:sz w:val="24"/>
          <w:highlight w:val="none"/>
        </w:rPr>
        <w:t>观察</w:t>
      </w:r>
      <w:r>
        <w:rPr>
          <w:rFonts w:ascii="宋体" w:hAnsi="宋体"/>
          <w:color w:val="auto"/>
          <w:sz w:val="24"/>
          <w:highlight w:val="none"/>
        </w:rPr>
        <w:t>费xxxx.xx元/例</w:t>
      </w:r>
      <w:r>
        <w:rPr>
          <w:rFonts w:hint="eastAsia" w:ascii="宋体" w:hAnsi="宋体"/>
          <w:color w:val="auto"/>
          <w:sz w:val="24"/>
          <w:highlight w:val="none"/>
        </w:rPr>
        <w:t>，</w:t>
      </w:r>
      <w:r>
        <w:rPr>
          <w:rFonts w:ascii="宋体" w:hAnsi="宋体"/>
          <w:color w:val="auto"/>
          <w:sz w:val="24"/>
          <w:highlight w:val="none"/>
        </w:rPr>
        <w:t>受试者检查费用按照实际发生支付。</w:t>
      </w:r>
      <w:r>
        <w:rPr>
          <w:rFonts w:hint="eastAsia" w:ascii="宋体" w:hAnsi="宋体"/>
          <w:color w:val="auto"/>
          <w:sz w:val="24"/>
          <w:highlight w:val="none"/>
        </w:rPr>
        <w:t>按方案要求，本临床试验</w:t>
      </w:r>
      <w:r>
        <w:rPr>
          <w:rFonts w:ascii="宋体" w:hAnsi="宋体"/>
          <w:color w:val="auto"/>
          <w:sz w:val="24"/>
          <w:highlight w:val="none"/>
        </w:rPr>
        <w:t>脱落率控制在xx%以内，脱落病例按照实际发生支付相应的</w:t>
      </w:r>
      <w:r>
        <w:rPr>
          <w:rFonts w:hint="eastAsia" w:ascii="宋体" w:hAnsi="宋体"/>
          <w:color w:val="auto"/>
          <w:sz w:val="24"/>
          <w:highlight w:val="none"/>
        </w:rPr>
        <w:t>研究者</w:t>
      </w:r>
      <w:r>
        <w:rPr>
          <w:rFonts w:ascii="宋体" w:hAnsi="宋体"/>
          <w:color w:val="auto"/>
          <w:sz w:val="24"/>
          <w:highlight w:val="none"/>
        </w:rPr>
        <w:t>观察费</w:t>
      </w:r>
      <w:r>
        <w:rPr>
          <w:rFonts w:hint="eastAsia" w:ascii="宋体" w:hAnsi="宋体"/>
          <w:color w:val="auto"/>
          <w:sz w:val="24"/>
          <w:highlight w:val="none"/>
        </w:rPr>
        <w:t>和受试者检查费</w:t>
      </w:r>
      <w:r>
        <w:rPr>
          <w:rFonts w:ascii="宋体" w:hAnsi="宋体"/>
          <w:color w:val="auto"/>
          <w:sz w:val="24"/>
          <w:highlight w:val="none"/>
        </w:rPr>
        <w:t>。</w:t>
      </w:r>
    </w:p>
    <w:p w14:paraId="24AB03E5">
      <w:pPr>
        <w:numPr>
          <w:ilvl w:val="0"/>
          <w:numId w:val="1"/>
        </w:numPr>
        <w:spacing w:line="360" w:lineRule="auto"/>
        <w:ind w:firstLine="480" w:firstLineChars="200"/>
        <w:rPr>
          <w:rFonts w:ascii="宋体" w:hAnsi="宋体"/>
          <w:color w:val="auto"/>
          <w:sz w:val="24"/>
          <w:highlight w:val="none"/>
        </w:rPr>
      </w:pPr>
      <w:r>
        <w:rPr>
          <w:rFonts w:ascii="宋体" w:hAnsi="宋体"/>
          <w:color w:val="auto"/>
          <w:sz w:val="24"/>
          <w:highlight w:val="none"/>
        </w:rPr>
        <w:t>服务费分期支付，具体支付方式和时间如下：</w:t>
      </w:r>
    </w:p>
    <w:p w14:paraId="44C8CC3A">
      <w:pPr>
        <w:spacing w:line="360" w:lineRule="auto"/>
        <w:ind w:firstLine="480" w:firstLineChars="200"/>
        <w:rPr>
          <w:rFonts w:ascii="宋体" w:hAnsi="宋体"/>
          <w:b/>
          <w:bCs/>
          <w:color w:val="auto"/>
          <w:sz w:val="24"/>
          <w:highlight w:val="none"/>
        </w:rPr>
      </w:pPr>
      <w:r>
        <w:rPr>
          <w:rFonts w:ascii="宋体" w:hAnsi="宋体"/>
          <w:color w:val="auto"/>
          <w:sz w:val="24"/>
          <w:highlight w:val="none"/>
        </w:rPr>
        <w:t xml:space="preserve">(1)首款：本合同签订后 </w:t>
      </w:r>
      <w:r>
        <w:rPr>
          <w:rFonts w:hint="eastAsia" w:ascii="宋体" w:hAnsi="宋体"/>
          <w:color w:val="auto"/>
          <w:sz w:val="24"/>
          <w:highlight w:val="none"/>
        </w:rPr>
        <w:t>**</w:t>
      </w:r>
      <w:r>
        <w:rPr>
          <w:rFonts w:ascii="宋体" w:hAnsi="宋体"/>
          <w:color w:val="auto"/>
          <w:sz w:val="24"/>
          <w:highlight w:val="none"/>
        </w:rPr>
        <w:t>工作日内，甲方向乙方支付</w:t>
      </w:r>
      <w:r>
        <w:rPr>
          <w:rFonts w:hint="eastAsia" w:ascii="宋体" w:hAnsi="宋体"/>
          <w:color w:val="auto"/>
          <w:sz w:val="24"/>
          <w:highlight w:val="none"/>
        </w:rPr>
        <w:t>研究者观察费用</w:t>
      </w:r>
      <w:r>
        <w:rPr>
          <w:rFonts w:ascii="宋体" w:hAnsi="宋体"/>
          <w:color w:val="auto"/>
          <w:sz w:val="24"/>
          <w:highlight w:val="none"/>
        </w:rPr>
        <w:t>的xx%</w:t>
      </w:r>
      <w:r>
        <w:rPr>
          <w:rFonts w:hint="eastAsia" w:ascii="宋体" w:hAnsi="宋体"/>
          <w:color w:val="auto"/>
          <w:sz w:val="24"/>
          <w:highlight w:val="none"/>
        </w:rPr>
        <w:t>（</w:t>
      </w:r>
      <w:r>
        <w:rPr>
          <w:rFonts w:ascii="宋体" w:hAnsi="宋体"/>
          <w:color w:val="auto"/>
          <w:sz w:val="24"/>
          <w:highlight w:val="none"/>
        </w:rPr>
        <w:t>人民币xxxx.xx元</w:t>
      </w:r>
      <w:r>
        <w:rPr>
          <w:rFonts w:hint="eastAsia" w:ascii="宋体" w:hAnsi="宋体"/>
          <w:color w:val="auto"/>
          <w:sz w:val="24"/>
          <w:highlight w:val="none"/>
        </w:rPr>
        <w:t>）,管理费</w:t>
      </w:r>
      <w:r>
        <w:rPr>
          <w:rFonts w:ascii="宋体" w:hAnsi="宋体"/>
          <w:color w:val="auto"/>
          <w:sz w:val="24"/>
          <w:highlight w:val="none"/>
        </w:rPr>
        <w:t>人民币xxxx.xx元；</w:t>
      </w:r>
      <w:r>
        <w:rPr>
          <w:rFonts w:hint="eastAsia" w:ascii="宋体" w:hAnsi="宋体"/>
          <w:color w:val="auto"/>
          <w:sz w:val="24"/>
          <w:highlight w:val="none"/>
        </w:rPr>
        <w:t>受试者</w:t>
      </w:r>
      <w:r>
        <w:rPr>
          <w:rFonts w:ascii="宋体" w:hAnsi="宋体"/>
          <w:color w:val="auto"/>
          <w:sz w:val="24"/>
          <w:highlight w:val="none"/>
        </w:rPr>
        <w:t>相关</w:t>
      </w:r>
      <w:r>
        <w:rPr>
          <w:rFonts w:hint="eastAsia" w:ascii="宋体" w:hAnsi="宋体"/>
          <w:color w:val="auto"/>
          <w:sz w:val="24"/>
          <w:highlight w:val="none"/>
        </w:rPr>
        <w:t>费用</w:t>
      </w:r>
      <w:r>
        <w:rPr>
          <w:rFonts w:ascii="宋体" w:hAnsi="宋体"/>
          <w:color w:val="auto"/>
          <w:sz w:val="24"/>
          <w:highlight w:val="none"/>
        </w:rPr>
        <w:t>的</w:t>
      </w:r>
      <w:r>
        <w:rPr>
          <w:rFonts w:hint="eastAsia" w:ascii="宋体" w:hAnsi="宋体"/>
          <w:color w:val="auto"/>
          <w:sz w:val="24"/>
          <w:highlight w:val="none"/>
        </w:rPr>
        <w:t>50</w:t>
      </w:r>
      <w:r>
        <w:rPr>
          <w:rFonts w:ascii="宋体" w:hAnsi="宋体"/>
          <w:color w:val="auto"/>
          <w:sz w:val="24"/>
          <w:highlight w:val="none"/>
        </w:rPr>
        <w:t>%</w:t>
      </w:r>
      <w:r>
        <w:rPr>
          <w:rFonts w:hint="eastAsia" w:ascii="宋体" w:hAnsi="宋体"/>
          <w:color w:val="auto"/>
          <w:sz w:val="24"/>
          <w:highlight w:val="none"/>
        </w:rPr>
        <w:t>（人民币</w:t>
      </w:r>
      <w:r>
        <w:rPr>
          <w:rFonts w:ascii="宋体" w:hAnsi="宋体"/>
          <w:color w:val="auto"/>
          <w:sz w:val="24"/>
          <w:highlight w:val="none"/>
        </w:rPr>
        <w:t>xxxx.xx</w:t>
      </w:r>
      <w:r>
        <w:rPr>
          <w:rFonts w:hint="eastAsia" w:ascii="宋体" w:hAnsi="宋体"/>
          <w:color w:val="auto"/>
          <w:sz w:val="24"/>
          <w:highlight w:val="none"/>
        </w:rPr>
        <w:t>元），临床试验药品管理费预付款</w:t>
      </w:r>
      <w:r>
        <w:rPr>
          <w:rFonts w:ascii="宋体" w:hAnsi="宋体"/>
          <w:color w:val="auto"/>
          <w:sz w:val="24"/>
          <w:highlight w:val="none"/>
        </w:rPr>
        <w:t>xxxx.xx</w:t>
      </w:r>
      <w:r>
        <w:rPr>
          <w:rFonts w:hint="eastAsia" w:ascii="宋体" w:hAnsi="宋体"/>
          <w:color w:val="auto"/>
          <w:sz w:val="24"/>
          <w:highlight w:val="none"/>
        </w:rPr>
        <w:t>元，附加费</w:t>
      </w:r>
      <w:r>
        <w:rPr>
          <w:rFonts w:ascii="宋体" w:hAnsi="宋体"/>
          <w:color w:val="auto"/>
          <w:sz w:val="24"/>
          <w:highlight w:val="none"/>
        </w:rPr>
        <w:t>xxxx.xx</w:t>
      </w:r>
      <w:r>
        <w:rPr>
          <w:rFonts w:hint="eastAsia" w:ascii="宋体" w:hAnsi="宋体"/>
          <w:color w:val="auto"/>
          <w:sz w:val="24"/>
          <w:highlight w:val="none"/>
        </w:rPr>
        <w:t>元，税费</w:t>
      </w:r>
      <w:r>
        <w:rPr>
          <w:rFonts w:ascii="宋体" w:hAnsi="宋体"/>
          <w:color w:val="auto"/>
          <w:sz w:val="24"/>
          <w:highlight w:val="none"/>
        </w:rPr>
        <w:t>xxxx.xx</w:t>
      </w:r>
      <w:r>
        <w:rPr>
          <w:rFonts w:hint="eastAsia" w:ascii="宋体" w:hAnsi="宋体"/>
          <w:color w:val="auto"/>
          <w:sz w:val="24"/>
          <w:highlight w:val="none"/>
        </w:rPr>
        <w:t>元。以上合计</w:t>
      </w:r>
      <w:r>
        <w:rPr>
          <w:rFonts w:ascii="宋体" w:hAnsi="宋体"/>
          <w:color w:val="auto"/>
          <w:sz w:val="24"/>
          <w:highlight w:val="none"/>
        </w:rPr>
        <w:t>xxxx.xx</w:t>
      </w:r>
      <w:r>
        <w:rPr>
          <w:rFonts w:hint="eastAsia" w:ascii="宋体" w:hAnsi="宋体"/>
          <w:color w:val="auto"/>
          <w:sz w:val="24"/>
          <w:highlight w:val="none"/>
        </w:rPr>
        <w:t>元。</w:t>
      </w:r>
    </w:p>
    <w:p w14:paraId="5963FF66">
      <w:pPr>
        <w:spacing w:line="360" w:lineRule="auto"/>
        <w:ind w:firstLine="480" w:firstLineChars="200"/>
        <w:rPr>
          <w:rFonts w:ascii="宋体" w:hAnsi="宋体"/>
          <w:color w:val="auto"/>
          <w:sz w:val="24"/>
          <w:highlight w:val="none"/>
        </w:rPr>
      </w:pPr>
      <w:r>
        <w:rPr>
          <w:rFonts w:ascii="宋体" w:hAnsi="宋体"/>
          <w:color w:val="auto"/>
          <w:sz w:val="24"/>
          <w:highlight w:val="none"/>
        </w:rPr>
        <w:t>(2)中期付款：</w:t>
      </w:r>
      <w:r>
        <w:rPr>
          <w:rFonts w:hint="eastAsia" w:ascii="宋体" w:hAnsi="宋体"/>
          <w:color w:val="auto"/>
          <w:sz w:val="24"/>
          <w:highlight w:val="none"/>
        </w:rPr>
        <w:t>实际入组例数达到计划入组例数的1/3时，</w:t>
      </w:r>
      <w:r>
        <w:rPr>
          <w:rFonts w:ascii="宋体" w:hAnsi="宋体"/>
          <w:color w:val="auto"/>
          <w:sz w:val="24"/>
          <w:highlight w:val="none"/>
        </w:rPr>
        <w:t>甲方向乙方支付</w:t>
      </w:r>
      <w:r>
        <w:rPr>
          <w:rFonts w:hint="eastAsia" w:ascii="宋体" w:hAnsi="宋体"/>
          <w:color w:val="auto"/>
          <w:sz w:val="24"/>
          <w:highlight w:val="none"/>
        </w:rPr>
        <w:t>研究者观察费用</w:t>
      </w:r>
      <w:r>
        <w:rPr>
          <w:rFonts w:ascii="宋体" w:hAnsi="宋体"/>
          <w:color w:val="auto"/>
          <w:sz w:val="24"/>
          <w:highlight w:val="none"/>
        </w:rPr>
        <w:t>的xx%</w:t>
      </w:r>
      <w:r>
        <w:rPr>
          <w:rFonts w:hint="eastAsia" w:ascii="宋体" w:hAnsi="宋体"/>
          <w:color w:val="auto"/>
          <w:sz w:val="24"/>
          <w:highlight w:val="none"/>
        </w:rPr>
        <w:t>（</w:t>
      </w:r>
      <w:r>
        <w:rPr>
          <w:rFonts w:ascii="宋体" w:hAnsi="宋体"/>
          <w:color w:val="auto"/>
          <w:sz w:val="24"/>
          <w:highlight w:val="none"/>
        </w:rPr>
        <w:t>人民币xxxx.xx元</w:t>
      </w:r>
      <w:r>
        <w:rPr>
          <w:rFonts w:hint="eastAsia" w:ascii="宋体" w:hAnsi="宋体"/>
          <w:color w:val="auto"/>
          <w:sz w:val="24"/>
          <w:highlight w:val="none"/>
        </w:rPr>
        <w:t>）,管理费</w:t>
      </w:r>
      <w:r>
        <w:rPr>
          <w:rFonts w:ascii="宋体" w:hAnsi="宋体"/>
          <w:color w:val="auto"/>
          <w:sz w:val="24"/>
          <w:highlight w:val="none"/>
        </w:rPr>
        <w:t>人民币xxxx.xx元；</w:t>
      </w:r>
      <w:r>
        <w:rPr>
          <w:rFonts w:hint="eastAsia" w:ascii="宋体" w:hAnsi="宋体"/>
          <w:color w:val="auto"/>
          <w:sz w:val="24"/>
          <w:highlight w:val="none"/>
        </w:rPr>
        <w:t>受试者</w:t>
      </w:r>
      <w:r>
        <w:rPr>
          <w:rFonts w:ascii="宋体" w:hAnsi="宋体"/>
          <w:color w:val="auto"/>
          <w:sz w:val="24"/>
          <w:highlight w:val="none"/>
        </w:rPr>
        <w:t>相关</w:t>
      </w:r>
      <w:r>
        <w:rPr>
          <w:rFonts w:hint="eastAsia" w:ascii="宋体" w:hAnsi="宋体"/>
          <w:color w:val="auto"/>
          <w:sz w:val="24"/>
          <w:highlight w:val="none"/>
        </w:rPr>
        <w:t>费用</w:t>
      </w:r>
      <w:r>
        <w:rPr>
          <w:rFonts w:ascii="宋体" w:hAnsi="宋体"/>
          <w:color w:val="auto"/>
          <w:sz w:val="24"/>
          <w:highlight w:val="none"/>
        </w:rPr>
        <w:t>的</w:t>
      </w:r>
      <w:r>
        <w:rPr>
          <w:rFonts w:hint="eastAsia" w:ascii="宋体" w:hAnsi="宋体"/>
          <w:color w:val="auto"/>
          <w:sz w:val="24"/>
          <w:highlight w:val="none"/>
        </w:rPr>
        <w:t>50</w:t>
      </w:r>
      <w:r>
        <w:rPr>
          <w:rFonts w:ascii="宋体" w:hAnsi="宋体"/>
          <w:color w:val="auto"/>
          <w:sz w:val="24"/>
          <w:highlight w:val="none"/>
        </w:rPr>
        <w:t>%</w:t>
      </w:r>
      <w:r>
        <w:rPr>
          <w:rFonts w:hint="eastAsia" w:ascii="宋体" w:hAnsi="宋体"/>
          <w:color w:val="auto"/>
          <w:sz w:val="24"/>
          <w:highlight w:val="none"/>
        </w:rPr>
        <w:t>（人民币</w:t>
      </w:r>
      <w:r>
        <w:rPr>
          <w:rFonts w:ascii="宋体" w:hAnsi="宋体"/>
          <w:color w:val="auto"/>
          <w:sz w:val="24"/>
          <w:highlight w:val="none"/>
        </w:rPr>
        <w:t>xxxx.xx</w:t>
      </w:r>
      <w:r>
        <w:rPr>
          <w:rFonts w:hint="eastAsia" w:ascii="宋体" w:hAnsi="宋体"/>
          <w:color w:val="auto"/>
          <w:sz w:val="24"/>
          <w:highlight w:val="none"/>
        </w:rPr>
        <w:t>元），附加费</w:t>
      </w:r>
      <w:r>
        <w:rPr>
          <w:rFonts w:ascii="宋体" w:hAnsi="宋体"/>
          <w:color w:val="auto"/>
          <w:sz w:val="24"/>
          <w:highlight w:val="none"/>
        </w:rPr>
        <w:t>xxxx.xx</w:t>
      </w:r>
      <w:r>
        <w:rPr>
          <w:rFonts w:hint="eastAsia" w:ascii="宋体" w:hAnsi="宋体"/>
          <w:color w:val="auto"/>
          <w:sz w:val="24"/>
          <w:highlight w:val="none"/>
        </w:rPr>
        <w:t>元，税费</w:t>
      </w:r>
      <w:r>
        <w:rPr>
          <w:rFonts w:ascii="宋体" w:hAnsi="宋体"/>
          <w:color w:val="auto"/>
          <w:sz w:val="24"/>
          <w:highlight w:val="none"/>
        </w:rPr>
        <w:t>xxxx.xx</w:t>
      </w:r>
      <w:r>
        <w:rPr>
          <w:rFonts w:hint="eastAsia" w:ascii="宋体" w:hAnsi="宋体"/>
          <w:color w:val="auto"/>
          <w:sz w:val="24"/>
          <w:highlight w:val="none"/>
        </w:rPr>
        <w:t>元。以上合计</w:t>
      </w:r>
      <w:r>
        <w:rPr>
          <w:rFonts w:ascii="宋体" w:hAnsi="宋体"/>
          <w:color w:val="auto"/>
          <w:sz w:val="24"/>
          <w:highlight w:val="none"/>
        </w:rPr>
        <w:t>xxxx.xx</w:t>
      </w:r>
      <w:r>
        <w:rPr>
          <w:rFonts w:hint="eastAsia" w:ascii="宋体" w:hAnsi="宋体"/>
          <w:color w:val="auto"/>
          <w:sz w:val="24"/>
          <w:highlight w:val="none"/>
        </w:rPr>
        <w:t>元。</w:t>
      </w:r>
    </w:p>
    <w:p w14:paraId="2E0B0B79">
      <w:pPr>
        <w:spacing w:line="360" w:lineRule="auto"/>
        <w:ind w:firstLine="482" w:firstLineChars="200"/>
        <w:rPr>
          <w:rFonts w:ascii="宋体" w:hAnsi="宋体"/>
          <w:b/>
          <w:bCs/>
          <w:i/>
          <w:iCs/>
          <w:color w:val="auto"/>
          <w:sz w:val="24"/>
          <w:highlight w:val="none"/>
        </w:rPr>
      </w:pPr>
      <w:r>
        <w:rPr>
          <w:rFonts w:hint="eastAsia" w:ascii="宋体" w:hAnsi="宋体"/>
          <w:b/>
          <w:bCs/>
          <w:i/>
          <w:iCs/>
          <w:color w:val="auto"/>
          <w:sz w:val="24"/>
          <w:highlight w:val="none"/>
        </w:rPr>
        <w:t>【说明：</w:t>
      </w:r>
      <w:r>
        <w:rPr>
          <w:rFonts w:hint="eastAsia" w:ascii="宋体" w:hAnsi="宋体"/>
          <w:b/>
          <w:bCs/>
          <w:i/>
          <w:iCs/>
          <w:color w:val="auto"/>
          <w:sz w:val="24"/>
          <w:highlight w:val="none"/>
        </w:rPr>
        <w:fldChar w:fldCharType="begin"/>
      </w:r>
      <w:r>
        <w:rPr>
          <w:rFonts w:hint="eastAsia" w:ascii="宋体" w:hAnsi="宋体"/>
          <w:b/>
          <w:bCs/>
          <w:i/>
          <w:iCs/>
          <w:color w:val="auto"/>
          <w:sz w:val="24"/>
          <w:highlight w:val="none"/>
        </w:rPr>
        <w:instrText xml:space="preserve"> = 1 \* GB3 </w:instrText>
      </w:r>
      <w:r>
        <w:rPr>
          <w:rFonts w:hint="eastAsia" w:ascii="宋体" w:hAnsi="宋体"/>
          <w:b/>
          <w:bCs/>
          <w:i/>
          <w:iCs/>
          <w:color w:val="auto"/>
          <w:sz w:val="24"/>
          <w:highlight w:val="none"/>
        </w:rPr>
        <w:fldChar w:fldCharType="separate"/>
      </w:r>
      <w:r>
        <w:rPr>
          <w:rFonts w:hint="eastAsia" w:ascii="宋体" w:hAnsi="宋体"/>
          <w:b/>
          <w:bCs/>
          <w:i/>
          <w:iCs/>
          <w:color w:val="auto"/>
          <w:sz w:val="24"/>
          <w:highlight w:val="none"/>
        </w:rPr>
        <w:t>①</w:t>
      </w:r>
      <w:r>
        <w:rPr>
          <w:rFonts w:hint="eastAsia" w:ascii="宋体" w:hAnsi="宋体"/>
          <w:b/>
          <w:bCs/>
          <w:i/>
          <w:iCs/>
          <w:color w:val="auto"/>
          <w:sz w:val="24"/>
          <w:highlight w:val="none"/>
        </w:rPr>
        <w:fldChar w:fldCharType="end"/>
      </w:r>
      <w:r>
        <w:rPr>
          <w:rFonts w:hint="eastAsia" w:ascii="宋体" w:hAnsi="宋体"/>
          <w:b/>
          <w:bCs/>
          <w:i/>
          <w:iCs/>
          <w:color w:val="auto"/>
          <w:sz w:val="24"/>
          <w:highlight w:val="none"/>
        </w:rPr>
        <w:t>管理费是根据每次打款研究者观察费直接计算出来的。</w:t>
      </w:r>
      <w:r>
        <w:rPr>
          <w:rFonts w:hint="eastAsia" w:ascii="宋体" w:hAnsi="宋体"/>
          <w:b/>
          <w:bCs/>
          <w:i/>
          <w:iCs/>
          <w:color w:val="auto"/>
          <w:sz w:val="24"/>
          <w:highlight w:val="none"/>
        </w:rPr>
        <w:fldChar w:fldCharType="begin"/>
      </w:r>
      <w:r>
        <w:rPr>
          <w:rFonts w:hint="eastAsia" w:ascii="宋体" w:hAnsi="宋体"/>
          <w:b/>
          <w:bCs/>
          <w:i/>
          <w:iCs/>
          <w:color w:val="auto"/>
          <w:sz w:val="24"/>
          <w:highlight w:val="none"/>
        </w:rPr>
        <w:instrText xml:space="preserve"> = 2 \* GB3 </w:instrText>
      </w:r>
      <w:r>
        <w:rPr>
          <w:rFonts w:hint="eastAsia" w:ascii="宋体" w:hAnsi="宋体"/>
          <w:b/>
          <w:bCs/>
          <w:i/>
          <w:iCs/>
          <w:color w:val="auto"/>
          <w:sz w:val="24"/>
          <w:highlight w:val="none"/>
        </w:rPr>
        <w:fldChar w:fldCharType="separate"/>
      </w:r>
      <w:r>
        <w:rPr>
          <w:rFonts w:hint="eastAsia" w:ascii="宋体" w:hAnsi="宋体"/>
          <w:b/>
          <w:bCs/>
          <w:i/>
          <w:iCs/>
          <w:color w:val="auto"/>
          <w:sz w:val="24"/>
          <w:highlight w:val="none"/>
        </w:rPr>
        <w:t>②</w:t>
      </w:r>
      <w:r>
        <w:rPr>
          <w:rFonts w:hint="eastAsia" w:ascii="宋体" w:hAnsi="宋体"/>
          <w:b/>
          <w:bCs/>
          <w:i/>
          <w:iCs/>
          <w:color w:val="auto"/>
          <w:sz w:val="24"/>
          <w:highlight w:val="none"/>
        </w:rPr>
        <w:fldChar w:fldCharType="end"/>
      </w:r>
      <w:r>
        <w:rPr>
          <w:rFonts w:hint="eastAsia" w:ascii="宋体" w:hAnsi="宋体"/>
          <w:b/>
          <w:bCs/>
          <w:i/>
          <w:iCs/>
          <w:color w:val="auto"/>
          <w:sz w:val="24"/>
          <w:highlight w:val="none"/>
        </w:rPr>
        <w:t>附加费、税费是每次支付的（研究者观察费用+管理费+受试者相关费用</w:t>
      </w:r>
      <w:r>
        <w:rPr>
          <w:rFonts w:ascii="宋体" w:hAnsi="宋体"/>
          <w:b/>
          <w:bCs/>
          <w:i/>
          <w:iCs/>
          <w:color w:val="auto"/>
          <w:sz w:val="24"/>
          <w:highlight w:val="none"/>
        </w:rPr>
        <w:t>+</w:t>
      </w:r>
      <w:r>
        <w:rPr>
          <w:rFonts w:hint="eastAsia" w:ascii="宋体" w:hAnsi="宋体"/>
          <w:b/>
          <w:bCs/>
          <w:i/>
          <w:iCs/>
          <w:color w:val="auto"/>
          <w:sz w:val="24"/>
          <w:highlight w:val="none"/>
        </w:rPr>
        <w:t>临床试验药品管理费+</w:t>
      </w:r>
      <w:r>
        <w:rPr>
          <w:rFonts w:ascii="宋体" w:hAnsi="宋体"/>
          <w:b/>
          <w:bCs/>
          <w:i/>
          <w:iCs/>
          <w:color w:val="auto"/>
          <w:sz w:val="24"/>
          <w:highlight w:val="none"/>
        </w:rPr>
        <w:t>资料保存费</w:t>
      </w:r>
      <w:r>
        <w:rPr>
          <w:rFonts w:hint="eastAsia" w:ascii="宋体" w:hAnsi="宋体"/>
          <w:b/>
          <w:bCs/>
          <w:i/>
          <w:iCs/>
          <w:color w:val="auto"/>
          <w:sz w:val="24"/>
          <w:highlight w:val="none"/>
        </w:rPr>
        <w:t>）按比例计算。】</w:t>
      </w:r>
    </w:p>
    <w:p w14:paraId="2A60482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（3）尾款：在完成分中心小结报告盖章前、甲方按实际发生费用向乙方支付剩余全部费用（包含资料保存费、临床试验药品管理费尾款）。</w:t>
      </w:r>
    </w:p>
    <w:p w14:paraId="6E11D6D0">
      <w:pPr>
        <w:pStyle w:val="6"/>
        <w:autoSpaceDE w:val="0"/>
        <w:autoSpaceDN w:val="0"/>
        <w:spacing w:before="40" w:after="40" w:line="360" w:lineRule="auto"/>
        <w:ind w:left="360"/>
        <w:rPr>
          <w:rFonts w:ascii="宋体" w:hAnsi="宋体"/>
          <w:color w:val="auto"/>
          <w:highlight w:val="none"/>
        </w:rPr>
      </w:pPr>
      <w:r>
        <w:rPr>
          <w:rFonts w:hint="eastAsia" w:ascii="宋体" w:hAnsi="宋体"/>
          <w:color w:val="auto"/>
          <w:szCs w:val="21"/>
          <w:highlight w:val="none"/>
        </w:rPr>
        <w:t xml:space="preserve"> </w:t>
      </w:r>
      <w:r>
        <w:rPr>
          <w:rFonts w:hint="eastAsia" w:ascii="宋体" w:hAnsi="宋体"/>
          <w:color w:val="auto"/>
          <w:highlight w:val="none"/>
        </w:rPr>
        <w:t>注：</w:t>
      </w:r>
      <w:r>
        <w:rPr>
          <w:rFonts w:hint="eastAsia" w:ascii="宋体" w:hAnsi="宋体"/>
          <w:color w:val="auto"/>
          <w:highlight w:val="none"/>
        </w:rPr>
        <w:fldChar w:fldCharType="begin"/>
      </w:r>
      <w:r>
        <w:rPr>
          <w:rFonts w:hint="eastAsia" w:ascii="宋体" w:hAnsi="宋体"/>
          <w:color w:val="auto"/>
          <w:highlight w:val="none"/>
        </w:rPr>
        <w:instrText xml:space="preserve"> = 1 \* GB3 \* MERGEFORMAT </w:instrText>
      </w:r>
      <w:r>
        <w:rPr>
          <w:rFonts w:hint="eastAsia" w:ascii="宋体" w:hAnsi="宋体"/>
          <w:color w:val="auto"/>
          <w:highlight w:val="none"/>
        </w:rPr>
        <w:fldChar w:fldCharType="separate"/>
      </w:r>
      <w:r>
        <w:rPr>
          <w:rFonts w:hint="eastAsia" w:ascii="宋体" w:hAnsi="宋体"/>
          <w:color w:val="auto"/>
          <w:highlight w:val="none"/>
        </w:rPr>
        <w:t>①</w:t>
      </w:r>
      <w:r>
        <w:rPr>
          <w:rFonts w:hint="eastAsia" w:ascii="宋体" w:hAnsi="宋体"/>
          <w:color w:val="auto"/>
          <w:highlight w:val="none"/>
        </w:rPr>
        <w:fldChar w:fldCharType="end"/>
      </w:r>
      <w:r>
        <w:rPr>
          <w:rFonts w:hint="eastAsia" w:ascii="宋体" w:hAnsi="宋体"/>
          <w:color w:val="auto"/>
          <w:highlight w:val="none"/>
        </w:rPr>
        <w:t>伦理委员会费用：申办方已经按要求支付伦理委员会评审实际发生费用，这部</w:t>
      </w:r>
    </w:p>
    <w:p w14:paraId="2FE4DE39">
      <w:pPr>
        <w:pStyle w:val="6"/>
        <w:autoSpaceDE w:val="0"/>
        <w:autoSpaceDN w:val="0"/>
        <w:spacing w:before="40" w:after="40" w:line="360" w:lineRule="auto"/>
        <w:rPr>
          <w:rFonts w:ascii="宋体" w:hAnsi="宋体"/>
          <w:color w:val="auto"/>
          <w:highlight w:val="none"/>
        </w:rPr>
      </w:pPr>
      <w:r>
        <w:rPr>
          <w:rFonts w:hint="eastAsia" w:ascii="宋体" w:hAnsi="宋体"/>
          <w:color w:val="auto"/>
          <w:highlight w:val="none"/>
        </w:rPr>
        <w:t>分费用不包含在本合同费用中。</w:t>
      </w:r>
      <w:r>
        <w:rPr>
          <w:rFonts w:hint="eastAsia" w:ascii="宋体" w:hAnsi="宋体"/>
          <w:color w:val="auto"/>
          <w:highlight w:val="none"/>
        </w:rPr>
        <w:fldChar w:fldCharType="begin"/>
      </w:r>
      <w:r>
        <w:rPr>
          <w:rFonts w:hint="eastAsia" w:ascii="宋体" w:hAnsi="宋体"/>
          <w:color w:val="auto"/>
          <w:highlight w:val="none"/>
        </w:rPr>
        <w:instrText xml:space="preserve"> = 2 \* GB3 \* MERGEFORMAT </w:instrText>
      </w:r>
      <w:r>
        <w:rPr>
          <w:rFonts w:hint="eastAsia" w:ascii="宋体" w:hAnsi="宋体"/>
          <w:color w:val="auto"/>
          <w:highlight w:val="none"/>
        </w:rPr>
        <w:fldChar w:fldCharType="separate"/>
      </w:r>
      <w:r>
        <w:rPr>
          <w:rFonts w:hint="eastAsia" w:ascii="宋体" w:hAnsi="宋体"/>
          <w:color w:val="auto"/>
          <w:highlight w:val="none"/>
        </w:rPr>
        <w:t>②</w:t>
      </w:r>
      <w:r>
        <w:rPr>
          <w:rFonts w:hint="eastAsia" w:ascii="宋体" w:hAnsi="宋体"/>
          <w:color w:val="auto"/>
          <w:highlight w:val="none"/>
        </w:rPr>
        <w:fldChar w:fldCharType="end"/>
      </w:r>
      <w:r>
        <w:rPr>
          <w:rFonts w:hint="eastAsia" w:ascii="宋体" w:hAnsi="宋体"/>
          <w:color w:val="auto"/>
          <w:highlight w:val="none"/>
        </w:rPr>
        <w:t>本合同中若甲方已支付费用超过实际发生费用，乙方应退回未发生部分的费用；</w:t>
      </w:r>
      <w:r>
        <w:rPr>
          <w:rFonts w:hint="eastAsia" w:ascii="宋体" w:hAnsi="宋体"/>
          <w:color w:val="auto"/>
          <w:highlight w:val="none"/>
        </w:rPr>
        <w:fldChar w:fldCharType="begin"/>
      </w:r>
      <w:r>
        <w:rPr>
          <w:rFonts w:hint="eastAsia" w:ascii="宋体" w:hAnsi="宋体"/>
          <w:color w:val="auto"/>
          <w:highlight w:val="none"/>
        </w:rPr>
        <w:instrText xml:space="preserve"> = 3 \* GB3 \* MERGEFORMAT </w:instrText>
      </w:r>
      <w:r>
        <w:rPr>
          <w:rFonts w:hint="eastAsia" w:ascii="宋体" w:hAnsi="宋体"/>
          <w:color w:val="auto"/>
          <w:highlight w:val="none"/>
        </w:rPr>
        <w:fldChar w:fldCharType="separate"/>
      </w:r>
      <w:r>
        <w:rPr>
          <w:rFonts w:hint="eastAsia" w:ascii="宋体" w:hAnsi="宋体"/>
          <w:color w:val="auto"/>
          <w:highlight w:val="none"/>
        </w:rPr>
        <w:t>③</w:t>
      </w:r>
      <w:r>
        <w:rPr>
          <w:rFonts w:hint="eastAsia" w:ascii="宋体" w:hAnsi="宋体"/>
          <w:color w:val="auto"/>
          <w:highlight w:val="none"/>
        </w:rPr>
        <w:fldChar w:fldCharType="end"/>
      </w:r>
      <w:r>
        <w:rPr>
          <w:rFonts w:hint="eastAsia" w:ascii="宋体" w:hAnsi="宋体"/>
          <w:color w:val="auto"/>
          <w:highlight w:val="none"/>
        </w:rPr>
        <w:t>已支付费用产生的管理费、附加费、税费不予退还；</w:t>
      </w:r>
      <w:r>
        <w:rPr>
          <w:rFonts w:hint="eastAsia" w:ascii="宋体" w:hAnsi="宋体"/>
          <w:color w:val="auto"/>
          <w:highlight w:val="none"/>
        </w:rPr>
        <w:fldChar w:fldCharType="begin"/>
      </w:r>
      <w:r>
        <w:rPr>
          <w:rFonts w:hint="eastAsia" w:ascii="宋体" w:hAnsi="宋体"/>
          <w:color w:val="auto"/>
          <w:highlight w:val="none"/>
        </w:rPr>
        <w:instrText xml:space="preserve"> = 4 \* GB3 \* MERGEFORMAT </w:instrText>
      </w:r>
      <w:r>
        <w:rPr>
          <w:rFonts w:hint="eastAsia" w:ascii="宋体" w:hAnsi="宋体"/>
          <w:color w:val="auto"/>
          <w:highlight w:val="none"/>
        </w:rPr>
        <w:fldChar w:fldCharType="separate"/>
      </w:r>
      <w:r>
        <w:rPr>
          <w:rFonts w:hint="eastAsia" w:ascii="宋体" w:hAnsi="宋体"/>
          <w:color w:val="auto"/>
          <w:highlight w:val="none"/>
        </w:rPr>
        <w:t>④</w:t>
      </w:r>
      <w:r>
        <w:rPr>
          <w:rFonts w:hint="eastAsia" w:ascii="宋体" w:hAnsi="宋体"/>
          <w:color w:val="auto"/>
          <w:highlight w:val="none"/>
        </w:rPr>
        <w:fldChar w:fldCharType="end"/>
      </w:r>
      <w:r>
        <w:rPr>
          <w:rFonts w:hint="eastAsia" w:ascii="宋体" w:hAnsi="宋体"/>
          <w:color w:val="auto"/>
          <w:highlight w:val="none"/>
        </w:rPr>
        <w:t>超出的受试者费用部分，乙方应在甲方申请退款1个月内退回。</w:t>
      </w:r>
    </w:p>
    <w:p w14:paraId="22A3C6FF">
      <w:pPr>
        <w:spacing w:line="360" w:lineRule="auto"/>
        <w:ind w:firstLine="480" w:firstLineChars="200"/>
        <w:rPr>
          <w:rFonts w:ascii="宋体" w:hAnsi="宋体"/>
          <w:color w:val="auto"/>
          <w:sz w:val="24"/>
          <w:highlight w:val="none"/>
        </w:rPr>
      </w:pPr>
      <w:r>
        <w:rPr>
          <w:rFonts w:ascii="宋体" w:hAnsi="宋体"/>
          <w:color w:val="auto"/>
          <w:sz w:val="24"/>
          <w:highlight w:val="none"/>
        </w:rPr>
        <w:t>乙方应及时向甲方</w:t>
      </w:r>
      <w:r>
        <w:rPr>
          <w:rFonts w:hint="eastAsia" w:ascii="宋体" w:hAnsi="宋体"/>
          <w:color w:val="auto"/>
          <w:sz w:val="24"/>
          <w:highlight w:val="none"/>
        </w:rPr>
        <w:t>/丙方</w:t>
      </w:r>
      <w:r>
        <w:rPr>
          <w:rFonts w:hint="eastAsia" w:ascii="宋体" w:hAnsi="宋体"/>
          <w:b/>
          <w:bCs/>
          <w:i/>
          <w:iCs/>
          <w:color w:val="auto"/>
          <w:sz w:val="24"/>
          <w:highlight w:val="none"/>
        </w:rPr>
        <w:t>【如不适用，请删除】</w:t>
      </w:r>
      <w:r>
        <w:rPr>
          <w:rFonts w:ascii="宋体" w:hAnsi="宋体"/>
          <w:color w:val="auto"/>
          <w:sz w:val="24"/>
          <w:highlight w:val="none"/>
        </w:rPr>
        <w:t>提供同等额度的符合国家规定</w:t>
      </w:r>
      <w:r>
        <w:rPr>
          <w:rFonts w:hint="eastAsia" w:ascii="宋体" w:hAnsi="宋体"/>
          <w:color w:val="auto"/>
          <w:sz w:val="24"/>
          <w:highlight w:val="none"/>
        </w:rPr>
        <w:t>的</w:t>
      </w:r>
      <w:r>
        <w:rPr>
          <w:rFonts w:ascii="宋体" w:hAnsi="宋体"/>
          <w:color w:val="auto"/>
          <w:sz w:val="24"/>
          <w:highlight w:val="none"/>
        </w:rPr>
        <w:t>发票。</w:t>
      </w:r>
    </w:p>
    <w:p w14:paraId="673B9C0A">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4.甲方</w:t>
      </w:r>
      <w:r>
        <w:rPr>
          <w:rFonts w:hint="eastAsia" w:ascii="宋体" w:hAnsi="宋体"/>
          <w:color w:val="auto"/>
          <w:sz w:val="24"/>
          <w:highlight w:val="none"/>
        </w:rPr>
        <w:t>/丙方</w:t>
      </w:r>
      <w:r>
        <w:rPr>
          <w:rFonts w:hint="eastAsia" w:ascii="宋体" w:hAnsi="宋体"/>
          <w:b/>
          <w:bCs/>
          <w:i/>
          <w:iCs/>
          <w:color w:val="auto"/>
          <w:sz w:val="24"/>
          <w:highlight w:val="none"/>
        </w:rPr>
        <w:t>【如不适用，请删除】</w:t>
      </w:r>
      <w:r>
        <w:rPr>
          <w:rFonts w:ascii="宋体" w:hAnsi="宋体"/>
          <w:color w:val="auto"/>
          <w:sz w:val="24"/>
          <w:highlight w:val="none"/>
        </w:rPr>
        <w:t>发票开票信息如下：</w:t>
      </w:r>
    </w:p>
    <w:p w14:paraId="7B4D615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全称：*****公司</w:t>
      </w:r>
    </w:p>
    <w:p w14:paraId="603EF03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地址： </w:t>
      </w:r>
    </w:p>
    <w:p w14:paraId="6279F4D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税号：</w:t>
      </w:r>
      <w:r>
        <w:rPr>
          <w:rFonts w:ascii="宋体" w:hAnsi="宋体"/>
          <w:color w:val="auto"/>
          <w:sz w:val="24"/>
          <w:highlight w:val="none"/>
        </w:rPr>
        <w:t xml:space="preserve"> </w:t>
      </w:r>
    </w:p>
    <w:p w14:paraId="14777A0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开户行： </w:t>
      </w:r>
    </w:p>
    <w:p w14:paraId="50C977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账号：</w:t>
      </w:r>
      <w:r>
        <w:rPr>
          <w:rFonts w:ascii="宋体" w:hAnsi="宋体"/>
          <w:color w:val="auto"/>
          <w:sz w:val="24"/>
          <w:highlight w:val="none"/>
        </w:rPr>
        <w:t xml:space="preserve"> </w:t>
      </w:r>
    </w:p>
    <w:p w14:paraId="16E036E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p>
    <w:p w14:paraId="66FFB540">
      <w:pPr>
        <w:spacing w:line="360" w:lineRule="auto"/>
        <w:ind w:firstLine="480" w:firstLineChars="200"/>
        <w:rPr>
          <w:rFonts w:ascii="宋体" w:hAnsi="宋体"/>
          <w:color w:val="auto"/>
          <w:sz w:val="24"/>
          <w:highlight w:val="none"/>
        </w:rPr>
      </w:pPr>
      <w:r>
        <w:rPr>
          <w:rFonts w:ascii="宋体" w:hAnsi="宋体"/>
          <w:color w:val="auto"/>
          <w:sz w:val="24"/>
          <w:highlight w:val="none"/>
        </w:rPr>
        <w:t>5.乙方收款账号信息如下：</w:t>
      </w:r>
    </w:p>
    <w:p w14:paraId="612E378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w:t>
      </w:r>
      <w:r>
        <w:rPr>
          <w:rFonts w:ascii="宋体" w:hAnsi="宋体"/>
          <w:color w:val="auto"/>
          <w:sz w:val="24"/>
          <w:highlight w:val="none"/>
        </w:rPr>
        <w:t>户名：</w:t>
      </w:r>
      <w:r>
        <w:rPr>
          <w:rFonts w:hint="eastAsia" w:ascii="宋体" w:hAnsi="宋体"/>
          <w:color w:val="auto"/>
          <w:sz w:val="24"/>
          <w:highlight w:val="none"/>
        </w:rPr>
        <w:t>上海交通大学医学院附属上海儿童医学中心海南医院</w:t>
      </w:r>
    </w:p>
    <w:p w14:paraId="7F1895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开户银行：建行三亚市海港支行</w:t>
      </w:r>
    </w:p>
    <w:p w14:paraId="5468C624">
      <w:pPr>
        <w:spacing w:line="360" w:lineRule="auto"/>
        <w:ind w:firstLine="480" w:firstLineChars="200"/>
        <w:rPr>
          <w:rFonts w:ascii="宋体" w:hAnsi="宋体"/>
          <w:color w:val="auto"/>
          <w:sz w:val="24"/>
          <w:highlight w:val="none"/>
        </w:rPr>
      </w:pPr>
      <w:r>
        <w:rPr>
          <w:rFonts w:ascii="宋体" w:hAnsi="宋体"/>
          <w:color w:val="auto"/>
          <w:sz w:val="24"/>
          <w:highlight w:val="none"/>
        </w:rPr>
        <w:t>帐号：</w:t>
      </w:r>
      <w:r>
        <w:rPr>
          <w:rFonts w:hint="eastAsia" w:ascii="宋体" w:hAnsi="宋体"/>
          <w:color w:val="auto"/>
          <w:sz w:val="24"/>
          <w:highlight w:val="none"/>
        </w:rPr>
        <w:t>46001005137053011461</w:t>
      </w:r>
    </w:p>
    <w:p w14:paraId="77403329">
      <w:pPr>
        <w:rPr>
          <w:color w:val="auto"/>
          <w:highlight w:val="none"/>
        </w:rPr>
      </w:pPr>
    </w:p>
    <w:p w14:paraId="277F2B6C">
      <w:pPr>
        <w:jc w:val="center"/>
        <w:rPr>
          <w:rFonts w:ascii="宋体" w:hAnsi="宋体"/>
          <w:b/>
          <w:color w:val="auto"/>
          <w:sz w:val="24"/>
          <w:highlight w:val="none"/>
        </w:rPr>
      </w:pPr>
    </w:p>
    <w:p w14:paraId="55D83733">
      <w:pPr>
        <w:jc w:val="center"/>
        <w:rPr>
          <w:rFonts w:ascii="宋体" w:hAnsi="宋体"/>
          <w:color w:val="auto"/>
          <w:sz w:val="24"/>
          <w:highlight w:val="none"/>
        </w:rPr>
      </w:pPr>
      <w:r>
        <w:rPr>
          <w:rFonts w:hint="eastAsia" w:ascii="宋体" w:hAnsi="宋体"/>
          <w:b/>
          <w:color w:val="auto"/>
          <w:sz w:val="24"/>
          <w:highlight w:val="none"/>
        </w:rPr>
        <w:t>（以下无正文，为签字页）</w:t>
      </w:r>
      <w:r>
        <w:rPr>
          <w:rFonts w:ascii="宋体" w:hAnsi="宋体"/>
          <w:color w:val="auto"/>
          <w:sz w:val="28"/>
          <w:szCs w:val="28"/>
          <w:highlight w:val="none"/>
        </w:rPr>
        <w:br w:type="page"/>
      </w:r>
      <w:r>
        <w:rPr>
          <w:rFonts w:hint="eastAsia" w:ascii="宋体" w:hAnsi="宋体"/>
          <w:b/>
          <w:bCs/>
          <w:color w:val="auto"/>
          <w:sz w:val="24"/>
          <w:highlight w:val="none"/>
        </w:rPr>
        <w:t>签字页</w:t>
      </w:r>
    </w:p>
    <w:p w14:paraId="7277A5EB">
      <w:pPr>
        <w:spacing w:line="360" w:lineRule="auto"/>
        <w:rPr>
          <w:rFonts w:ascii="宋体" w:hAnsi="宋体"/>
          <w:color w:val="auto"/>
          <w:sz w:val="24"/>
          <w:highlight w:val="none"/>
        </w:rPr>
      </w:pPr>
    </w:p>
    <w:p w14:paraId="5248D17C">
      <w:pPr>
        <w:spacing w:line="360" w:lineRule="auto"/>
        <w:rPr>
          <w:rFonts w:ascii="宋体" w:hAnsi="宋体"/>
          <w:color w:val="auto"/>
          <w:sz w:val="24"/>
          <w:highlight w:val="none"/>
        </w:rPr>
      </w:pPr>
      <w:r>
        <w:rPr>
          <w:rFonts w:hint="eastAsia" w:ascii="宋体" w:hAnsi="宋体"/>
          <w:color w:val="auto"/>
          <w:sz w:val="24"/>
          <w:highlight w:val="none"/>
        </w:rPr>
        <w:t>甲方：**公司</w:t>
      </w:r>
    </w:p>
    <w:p w14:paraId="7200E259">
      <w:pPr>
        <w:spacing w:line="360" w:lineRule="auto"/>
        <w:rPr>
          <w:rFonts w:ascii="宋体" w:hAnsi="宋体"/>
          <w:color w:val="auto"/>
          <w:sz w:val="24"/>
          <w:highlight w:val="none"/>
        </w:rPr>
      </w:pPr>
      <w:r>
        <w:rPr>
          <w:rFonts w:hint="eastAsia" w:ascii="宋体" w:hAnsi="宋体"/>
          <w:color w:val="auto"/>
          <w:sz w:val="24"/>
          <w:highlight w:val="none"/>
        </w:rPr>
        <w:t>（盖章）</w:t>
      </w:r>
    </w:p>
    <w:p w14:paraId="2FA88039">
      <w:pPr>
        <w:spacing w:line="360" w:lineRule="auto"/>
        <w:rPr>
          <w:rFonts w:ascii="宋体" w:hAnsi="宋体"/>
          <w:b/>
          <w:bCs/>
          <w:i/>
          <w:iCs/>
          <w:color w:val="auto"/>
          <w:sz w:val="24"/>
          <w:highlight w:val="none"/>
        </w:rPr>
      </w:pPr>
      <w:r>
        <w:rPr>
          <w:rFonts w:hint="eastAsia" w:ascii="宋体" w:hAnsi="宋体"/>
          <w:b/>
          <w:bCs/>
          <w:i/>
          <w:iCs/>
          <w:color w:val="auto"/>
          <w:sz w:val="24"/>
          <w:highlight w:val="none"/>
        </w:rPr>
        <w:t>【公司名称需与首页甲方名称保持一致】</w:t>
      </w:r>
    </w:p>
    <w:p w14:paraId="7DB16FB3">
      <w:pPr>
        <w:spacing w:line="360" w:lineRule="auto"/>
        <w:rPr>
          <w:rFonts w:ascii="宋体" w:hAnsi="宋体"/>
          <w:color w:val="auto"/>
          <w:sz w:val="24"/>
          <w:highlight w:val="none"/>
        </w:rPr>
      </w:pPr>
    </w:p>
    <w:p w14:paraId="1CAFA289">
      <w:pPr>
        <w:spacing w:line="360" w:lineRule="auto"/>
        <w:rPr>
          <w:rFonts w:ascii="宋体" w:hAnsi="宋体"/>
          <w:color w:val="auto"/>
          <w:sz w:val="24"/>
          <w:highlight w:val="none"/>
        </w:rPr>
      </w:pPr>
      <w:r>
        <w:rPr>
          <w:rFonts w:hint="eastAsia" w:ascii="宋体" w:hAnsi="宋体"/>
          <w:color w:val="auto"/>
          <w:sz w:val="24"/>
          <w:highlight w:val="none"/>
        </w:rPr>
        <w:t>法定代表人／委托代理人：</w:t>
      </w:r>
      <w:r>
        <w:rPr>
          <w:rFonts w:ascii="宋体" w:hAnsi="宋体"/>
          <w:color w:val="auto"/>
          <w:sz w:val="24"/>
          <w:highlight w:val="none"/>
        </w:rPr>
        <w:t>__________</w:t>
      </w:r>
    </w:p>
    <w:p w14:paraId="1A75A633">
      <w:pPr>
        <w:spacing w:line="360" w:lineRule="auto"/>
        <w:rPr>
          <w:rFonts w:ascii="宋体" w:hAnsi="宋体"/>
          <w:color w:val="auto"/>
          <w:sz w:val="24"/>
          <w:highlight w:val="none"/>
        </w:rPr>
      </w:pPr>
      <w:r>
        <w:rPr>
          <w:rFonts w:hint="eastAsia" w:ascii="宋体" w:hAnsi="宋体"/>
          <w:color w:val="auto"/>
          <w:sz w:val="24"/>
          <w:highlight w:val="none"/>
        </w:rPr>
        <w:t>（签名）</w:t>
      </w:r>
    </w:p>
    <w:p w14:paraId="67FE75A9">
      <w:pPr>
        <w:spacing w:line="360" w:lineRule="auto"/>
        <w:rPr>
          <w:rFonts w:ascii="宋体" w:hAnsi="宋体"/>
          <w:color w:val="auto"/>
          <w:sz w:val="24"/>
          <w:highlight w:val="none"/>
        </w:rPr>
      </w:pPr>
      <w:r>
        <w:rPr>
          <w:rFonts w:hint="eastAsia" w:ascii="宋体" w:hAnsi="宋体"/>
          <w:color w:val="auto"/>
          <w:sz w:val="24"/>
          <w:highlight w:val="none"/>
        </w:rPr>
        <w:t xml:space="preserve">日期：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月     日</w:t>
      </w:r>
    </w:p>
    <w:p w14:paraId="308E88CC">
      <w:pPr>
        <w:spacing w:line="360" w:lineRule="auto"/>
        <w:rPr>
          <w:rFonts w:ascii="宋体" w:hAnsi="宋体"/>
          <w:color w:val="auto"/>
          <w:sz w:val="24"/>
          <w:highlight w:val="none"/>
        </w:rPr>
      </w:pPr>
    </w:p>
    <w:p w14:paraId="5ECAFBF4">
      <w:pPr>
        <w:spacing w:line="360" w:lineRule="auto"/>
        <w:rPr>
          <w:rFonts w:ascii="宋体" w:hAnsi="宋体"/>
          <w:color w:val="auto"/>
          <w:sz w:val="24"/>
          <w:highlight w:val="none"/>
        </w:rPr>
      </w:pPr>
      <w:r>
        <w:rPr>
          <w:rFonts w:hint="eastAsia" w:ascii="宋体" w:hAnsi="宋体"/>
          <w:color w:val="auto"/>
          <w:sz w:val="24"/>
          <w:highlight w:val="none"/>
        </w:rPr>
        <w:t>乙方：上海交通大学医学院附属上海儿童医学中心海南医院</w:t>
      </w:r>
    </w:p>
    <w:p w14:paraId="2B7DE8A8">
      <w:pPr>
        <w:spacing w:line="360" w:lineRule="auto"/>
        <w:rPr>
          <w:rFonts w:ascii="宋体" w:hAnsi="宋体"/>
          <w:color w:val="auto"/>
          <w:sz w:val="24"/>
          <w:highlight w:val="none"/>
        </w:rPr>
      </w:pPr>
      <w:r>
        <w:rPr>
          <w:rFonts w:hint="eastAsia" w:ascii="宋体" w:hAnsi="宋体"/>
          <w:color w:val="auto"/>
          <w:sz w:val="24"/>
          <w:highlight w:val="none"/>
        </w:rPr>
        <w:t>（盖章）</w:t>
      </w:r>
    </w:p>
    <w:p w14:paraId="65D65EC9">
      <w:pPr>
        <w:spacing w:line="360" w:lineRule="auto"/>
        <w:rPr>
          <w:rFonts w:ascii="宋体" w:hAnsi="宋体"/>
          <w:color w:val="auto"/>
          <w:sz w:val="24"/>
          <w:highlight w:val="none"/>
        </w:rPr>
      </w:pPr>
    </w:p>
    <w:p w14:paraId="677D2F90">
      <w:pPr>
        <w:spacing w:line="360" w:lineRule="auto"/>
        <w:rPr>
          <w:rFonts w:ascii="宋体" w:hAnsi="宋体"/>
          <w:color w:val="auto"/>
          <w:sz w:val="24"/>
          <w:highlight w:val="none"/>
        </w:rPr>
      </w:pPr>
      <w:r>
        <w:rPr>
          <w:rFonts w:hint="eastAsia" w:ascii="宋体" w:hAnsi="宋体"/>
          <w:color w:val="auto"/>
          <w:sz w:val="24"/>
          <w:highlight w:val="none"/>
        </w:rPr>
        <w:t>主要研究者</w:t>
      </w:r>
      <w:r>
        <w:rPr>
          <w:rFonts w:ascii="宋体" w:hAnsi="宋体"/>
          <w:color w:val="auto"/>
          <w:sz w:val="24"/>
          <w:highlight w:val="none"/>
        </w:rPr>
        <w:t xml:space="preserve">:__________ </w:t>
      </w:r>
    </w:p>
    <w:p w14:paraId="03FE09FF">
      <w:pPr>
        <w:spacing w:line="360" w:lineRule="auto"/>
        <w:rPr>
          <w:rFonts w:ascii="宋体" w:hAnsi="宋体"/>
          <w:color w:val="auto"/>
          <w:sz w:val="24"/>
          <w:highlight w:val="none"/>
        </w:rPr>
      </w:pPr>
      <w:r>
        <w:rPr>
          <w:rFonts w:hint="eastAsia" w:ascii="宋体" w:hAnsi="宋体"/>
          <w:color w:val="auto"/>
          <w:sz w:val="24"/>
          <w:highlight w:val="none"/>
        </w:rPr>
        <w:t>（签名）</w:t>
      </w:r>
    </w:p>
    <w:p w14:paraId="12646103">
      <w:pPr>
        <w:spacing w:line="360" w:lineRule="auto"/>
        <w:rPr>
          <w:rFonts w:ascii="宋体" w:hAnsi="宋体"/>
          <w:color w:val="auto"/>
          <w:sz w:val="24"/>
          <w:highlight w:val="none"/>
        </w:rPr>
      </w:pPr>
      <w:r>
        <w:rPr>
          <w:rFonts w:hint="eastAsia" w:ascii="宋体" w:hAnsi="宋体"/>
          <w:color w:val="auto"/>
          <w:sz w:val="24"/>
          <w:highlight w:val="none"/>
        </w:rPr>
        <w:t xml:space="preserve">日期：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月     日</w:t>
      </w:r>
    </w:p>
    <w:p w14:paraId="0EEECA5F">
      <w:pPr>
        <w:spacing w:line="360" w:lineRule="auto"/>
        <w:rPr>
          <w:rFonts w:ascii="宋体" w:hAnsi="宋体"/>
          <w:color w:val="auto"/>
          <w:sz w:val="24"/>
          <w:highlight w:val="none"/>
        </w:rPr>
      </w:pPr>
    </w:p>
    <w:p w14:paraId="2FE2451F">
      <w:pPr>
        <w:spacing w:line="360" w:lineRule="auto"/>
        <w:rPr>
          <w:rFonts w:ascii="宋体" w:hAnsi="宋体"/>
          <w:color w:val="auto"/>
          <w:sz w:val="24"/>
          <w:highlight w:val="none"/>
        </w:rPr>
      </w:pPr>
      <w:r>
        <w:rPr>
          <w:rFonts w:hint="eastAsia" w:ascii="宋体" w:hAnsi="宋体"/>
          <w:color w:val="auto"/>
          <w:sz w:val="24"/>
          <w:highlight w:val="none"/>
          <w:lang w:val="en-US" w:eastAsia="zh-CN"/>
        </w:rPr>
        <w:t>机构主任</w:t>
      </w:r>
      <w:r>
        <w:rPr>
          <w:rFonts w:hint="eastAsia" w:ascii="宋体" w:hAnsi="宋体"/>
          <w:color w:val="auto"/>
          <w:sz w:val="24"/>
          <w:highlight w:val="none"/>
        </w:rPr>
        <w:t>：</w:t>
      </w:r>
      <w:r>
        <w:rPr>
          <w:rFonts w:ascii="宋体" w:hAnsi="宋体"/>
          <w:color w:val="auto"/>
          <w:sz w:val="24"/>
          <w:highlight w:val="none"/>
        </w:rPr>
        <w:t xml:space="preserve">__________ </w:t>
      </w:r>
    </w:p>
    <w:p w14:paraId="267255D2">
      <w:pPr>
        <w:spacing w:line="360" w:lineRule="auto"/>
        <w:rPr>
          <w:rFonts w:ascii="宋体" w:hAnsi="宋体"/>
          <w:color w:val="auto"/>
          <w:sz w:val="24"/>
          <w:highlight w:val="none"/>
        </w:rPr>
      </w:pPr>
      <w:r>
        <w:rPr>
          <w:rFonts w:hint="eastAsia" w:ascii="宋体" w:hAnsi="宋体"/>
          <w:color w:val="auto"/>
          <w:sz w:val="24"/>
          <w:highlight w:val="none"/>
        </w:rPr>
        <w:t xml:space="preserve">（签名） </w:t>
      </w:r>
    </w:p>
    <w:p w14:paraId="691D67B7">
      <w:pPr>
        <w:spacing w:line="360" w:lineRule="auto"/>
        <w:rPr>
          <w:rFonts w:ascii="宋体" w:hAnsi="宋体"/>
          <w:color w:val="auto"/>
          <w:sz w:val="24"/>
          <w:highlight w:val="none"/>
        </w:rPr>
      </w:pPr>
      <w:r>
        <w:rPr>
          <w:rFonts w:hint="eastAsia" w:ascii="宋体" w:hAnsi="宋体"/>
          <w:color w:val="auto"/>
          <w:sz w:val="24"/>
          <w:highlight w:val="none"/>
        </w:rPr>
        <w:t xml:space="preserve">日期：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月     日</w:t>
      </w:r>
    </w:p>
    <w:p w14:paraId="257BF3AD">
      <w:pPr>
        <w:spacing w:line="360" w:lineRule="auto"/>
        <w:rPr>
          <w:rFonts w:ascii="宋体" w:hAnsi="宋体"/>
          <w:color w:val="auto"/>
          <w:sz w:val="24"/>
          <w:highlight w:val="none"/>
        </w:rPr>
      </w:pPr>
    </w:p>
    <w:p w14:paraId="1AC972AE">
      <w:pPr>
        <w:spacing w:line="360" w:lineRule="auto"/>
        <w:rPr>
          <w:rFonts w:ascii="宋体" w:hAnsi="宋体"/>
          <w:b/>
          <w:bCs/>
          <w:i/>
          <w:iCs/>
          <w:color w:val="auto"/>
          <w:sz w:val="24"/>
          <w:highlight w:val="none"/>
        </w:rPr>
      </w:pPr>
      <w:r>
        <w:rPr>
          <w:rFonts w:hint="eastAsia" w:ascii="宋体" w:hAnsi="宋体"/>
          <w:color w:val="auto"/>
          <w:sz w:val="24"/>
          <w:highlight w:val="none"/>
        </w:rPr>
        <w:t>丙方：**公司</w:t>
      </w:r>
    </w:p>
    <w:p w14:paraId="2C56A573">
      <w:pPr>
        <w:spacing w:line="360" w:lineRule="auto"/>
        <w:rPr>
          <w:rFonts w:ascii="宋体" w:hAnsi="宋体"/>
          <w:color w:val="auto"/>
          <w:sz w:val="24"/>
          <w:highlight w:val="none"/>
        </w:rPr>
      </w:pPr>
      <w:r>
        <w:rPr>
          <w:rFonts w:hint="eastAsia" w:ascii="宋体" w:hAnsi="宋体"/>
          <w:color w:val="auto"/>
          <w:sz w:val="24"/>
          <w:highlight w:val="none"/>
        </w:rPr>
        <w:t>（盖章）</w:t>
      </w:r>
    </w:p>
    <w:p w14:paraId="15E26BB6">
      <w:pPr>
        <w:spacing w:line="360" w:lineRule="auto"/>
        <w:rPr>
          <w:rFonts w:ascii="宋体" w:hAnsi="宋体"/>
          <w:b/>
          <w:bCs/>
          <w:i/>
          <w:iCs/>
          <w:color w:val="auto"/>
          <w:sz w:val="24"/>
          <w:highlight w:val="none"/>
        </w:rPr>
      </w:pPr>
      <w:r>
        <w:rPr>
          <w:rFonts w:hint="eastAsia" w:ascii="宋体" w:hAnsi="宋体"/>
          <w:b/>
          <w:bCs/>
          <w:i/>
          <w:iCs/>
          <w:color w:val="auto"/>
          <w:sz w:val="24"/>
          <w:highlight w:val="none"/>
        </w:rPr>
        <w:t>【公司名称需与首页丙方名称保持一致】</w:t>
      </w:r>
    </w:p>
    <w:p w14:paraId="4F32FC13">
      <w:pPr>
        <w:spacing w:line="360" w:lineRule="auto"/>
        <w:rPr>
          <w:rFonts w:ascii="宋体" w:hAnsi="宋体"/>
          <w:color w:val="auto"/>
          <w:sz w:val="24"/>
          <w:highlight w:val="none"/>
        </w:rPr>
      </w:pPr>
      <w:r>
        <w:rPr>
          <w:rFonts w:hint="eastAsia" w:ascii="宋体" w:hAnsi="宋体"/>
          <w:color w:val="auto"/>
          <w:sz w:val="24"/>
          <w:highlight w:val="none"/>
        </w:rPr>
        <w:t>法定代表人／委托代理人：</w:t>
      </w:r>
      <w:r>
        <w:rPr>
          <w:rFonts w:ascii="宋体" w:hAnsi="宋体"/>
          <w:color w:val="auto"/>
          <w:sz w:val="24"/>
          <w:highlight w:val="none"/>
        </w:rPr>
        <w:t>__________</w:t>
      </w:r>
    </w:p>
    <w:p w14:paraId="7829DE14">
      <w:pPr>
        <w:spacing w:line="360" w:lineRule="auto"/>
        <w:rPr>
          <w:rFonts w:ascii="宋体" w:hAnsi="宋体"/>
          <w:color w:val="auto"/>
          <w:sz w:val="24"/>
          <w:highlight w:val="none"/>
        </w:rPr>
      </w:pPr>
      <w:r>
        <w:rPr>
          <w:rFonts w:hint="eastAsia" w:ascii="宋体" w:hAnsi="宋体"/>
          <w:color w:val="auto"/>
          <w:sz w:val="24"/>
          <w:highlight w:val="none"/>
        </w:rPr>
        <w:t>（签名）</w:t>
      </w:r>
    </w:p>
    <w:p w14:paraId="5628EA4A">
      <w:pPr>
        <w:spacing w:line="360" w:lineRule="auto"/>
        <w:rPr>
          <w:rFonts w:ascii="宋体" w:hAnsi="宋体"/>
          <w:color w:val="auto"/>
          <w:sz w:val="24"/>
          <w:highlight w:val="none"/>
        </w:rPr>
      </w:pPr>
      <w:r>
        <w:rPr>
          <w:rFonts w:hint="eastAsia" w:ascii="宋体" w:hAnsi="宋体"/>
          <w:color w:val="auto"/>
          <w:sz w:val="24"/>
          <w:highlight w:val="none"/>
        </w:rPr>
        <w:t xml:space="preserve">日期：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月     日</w:t>
      </w:r>
    </w:p>
    <w:p w14:paraId="7B3B6828">
      <w:pPr>
        <w:spacing w:line="360" w:lineRule="auto"/>
        <w:rPr>
          <w:rFonts w:ascii="宋体" w:hAnsi="宋体"/>
          <w:color w:val="auto"/>
          <w:sz w:val="24"/>
          <w:highlight w:val="none"/>
        </w:rPr>
      </w:pPr>
    </w:p>
    <w:p w14:paraId="14803B50">
      <w:pPr>
        <w:spacing w:line="360" w:lineRule="auto"/>
        <w:rPr>
          <w:rFonts w:ascii="宋体" w:hAnsi="宋体"/>
          <w:color w:val="auto"/>
          <w:sz w:val="24"/>
          <w:highlight w:val="none"/>
        </w:rPr>
      </w:pPr>
      <w:r>
        <w:rPr>
          <w:rFonts w:hint="eastAsia" w:ascii="宋体" w:hAnsi="宋体"/>
          <w:color w:val="auto"/>
          <w:sz w:val="24"/>
          <w:highlight w:val="none"/>
        </w:rPr>
        <w:t>附件一：费用清单（以下费用按照实际发生结算）</w:t>
      </w:r>
    </w:p>
    <w:p w14:paraId="31A8A7FF">
      <w:pPr>
        <w:spacing w:line="360" w:lineRule="auto"/>
        <w:rPr>
          <w:rFonts w:ascii="宋体" w:hAnsi="宋体"/>
          <w:color w:val="auto"/>
          <w:sz w:val="24"/>
          <w:highlight w:val="none"/>
        </w:rPr>
      </w:pPr>
      <w:r>
        <w:rPr>
          <w:rFonts w:hint="eastAsia" w:ascii="宋体" w:hAnsi="宋体"/>
          <w:color w:val="auto"/>
          <w:sz w:val="24"/>
          <w:highlight w:val="none"/>
        </w:rPr>
        <w:t>1.研究者</w:t>
      </w:r>
      <w:r>
        <w:rPr>
          <w:rFonts w:ascii="宋体" w:hAnsi="宋体"/>
          <w:color w:val="auto"/>
          <w:sz w:val="24"/>
          <w:highlight w:val="none"/>
        </w:rPr>
        <w:t>观察费清单（单位</w:t>
      </w:r>
      <w:r>
        <w:rPr>
          <w:rFonts w:hint="eastAsia" w:ascii="宋体" w:hAnsi="宋体"/>
          <w:color w:val="auto"/>
          <w:sz w:val="24"/>
          <w:highlight w:val="none"/>
        </w:rPr>
        <w:t xml:space="preserve"> </w:t>
      </w:r>
      <w:r>
        <w:rPr>
          <w:rFonts w:ascii="宋体" w:hAnsi="宋体"/>
          <w:color w:val="auto"/>
          <w:sz w:val="24"/>
          <w:highlight w:val="none"/>
        </w:rPr>
        <w:t>：元/例）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3"/>
        <w:gridCol w:w="1383"/>
        <w:gridCol w:w="1476"/>
        <w:gridCol w:w="1290"/>
      </w:tblGrid>
      <w:tr w14:paraId="5B73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2815239B">
            <w:pPr>
              <w:spacing w:line="360" w:lineRule="auto"/>
              <w:rPr>
                <w:rFonts w:ascii="宋体" w:hAnsi="宋体"/>
                <w:color w:val="auto"/>
                <w:sz w:val="24"/>
                <w:highlight w:val="none"/>
              </w:rPr>
            </w:pPr>
          </w:p>
        </w:tc>
        <w:tc>
          <w:tcPr>
            <w:tcW w:w="1382" w:type="dxa"/>
          </w:tcPr>
          <w:p w14:paraId="20F96AF4">
            <w:pPr>
              <w:spacing w:line="360" w:lineRule="auto"/>
              <w:jc w:val="center"/>
              <w:rPr>
                <w:rFonts w:ascii="宋体" w:hAnsi="宋体"/>
                <w:color w:val="auto"/>
                <w:sz w:val="24"/>
                <w:highlight w:val="none"/>
              </w:rPr>
            </w:pPr>
            <w:r>
              <w:rPr>
                <w:rFonts w:ascii="宋体" w:hAnsi="宋体"/>
                <w:color w:val="auto"/>
                <w:sz w:val="24"/>
                <w:highlight w:val="none"/>
              </w:rPr>
              <w:t>访视1</w:t>
            </w:r>
          </w:p>
        </w:tc>
        <w:tc>
          <w:tcPr>
            <w:tcW w:w="1383" w:type="dxa"/>
          </w:tcPr>
          <w:p w14:paraId="1BA8D384">
            <w:pPr>
              <w:spacing w:line="360" w:lineRule="auto"/>
              <w:jc w:val="center"/>
              <w:rPr>
                <w:rFonts w:ascii="宋体" w:hAnsi="宋体"/>
                <w:color w:val="auto"/>
                <w:sz w:val="24"/>
                <w:highlight w:val="none"/>
              </w:rPr>
            </w:pPr>
            <w:r>
              <w:rPr>
                <w:rFonts w:ascii="宋体" w:hAnsi="宋体"/>
                <w:color w:val="auto"/>
                <w:sz w:val="24"/>
                <w:highlight w:val="none"/>
              </w:rPr>
              <w:t>访视2</w:t>
            </w:r>
          </w:p>
        </w:tc>
        <w:tc>
          <w:tcPr>
            <w:tcW w:w="1383" w:type="dxa"/>
          </w:tcPr>
          <w:p w14:paraId="78124532">
            <w:pPr>
              <w:spacing w:line="360" w:lineRule="auto"/>
              <w:jc w:val="center"/>
              <w:rPr>
                <w:rFonts w:ascii="宋体" w:hAnsi="宋体"/>
                <w:color w:val="auto"/>
                <w:sz w:val="24"/>
                <w:highlight w:val="none"/>
              </w:rPr>
            </w:pPr>
            <w:r>
              <w:rPr>
                <w:rFonts w:ascii="宋体" w:hAnsi="宋体"/>
                <w:color w:val="auto"/>
                <w:sz w:val="24"/>
                <w:highlight w:val="none"/>
              </w:rPr>
              <w:t>访视3</w:t>
            </w:r>
          </w:p>
        </w:tc>
        <w:tc>
          <w:tcPr>
            <w:tcW w:w="1476" w:type="dxa"/>
          </w:tcPr>
          <w:p w14:paraId="5D9C0D19">
            <w:pPr>
              <w:spacing w:line="360" w:lineRule="auto"/>
              <w:rPr>
                <w:rFonts w:ascii="宋体" w:hAnsi="宋体"/>
                <w:color w:val="auto"/>
                <w:sz w:val="24"/>
                <w:highlight w:val="none"/>
              </w:rPr>
            </w:pPr>
            <w:r>
              <w:rPr>
                <w:rFonts w:hint="eastAsia" w:ascii="宋体" w:hAnsi="宋体"/>
                <w:color w:val="auto"/>
                <w:sz w:val="24"/>
                <w:highlight w:val="none"/>
              </w:rPr>
              <w:t>访</w:t>
            </w:r>
            <w:r>
              <w:rPr>
                <w:rFonts w:ascii="宋体" w:hAnsi="宋体"/>
                <w:color w:val="auto"/>
                <w:sz w:val="24"/>
                <w:highlight w:val="none"/>
              </w:rPr>
              <w:t>视......</w:t>
            </w:r>
          </w:p>
        </w:tc>
        <w:tc>
          <w:tcPr>
            <w:tcW w:w="1290" w:type="dxa"/>
          </w:tcPr>
          <w:p w14:paraId="74DDC3BC">
            <w:pPr>
              <w:spacing w:line="360" w:lineRule="auto"/>
              <w:jc w:val="center"/>
              <w:rPr>
                <w:rFonts w:ascii="宋体" w:hAnsi="宋体"/>
                <w:color w:val="auto"/>
                <w:sz w:val="24"/>
                <w:highlight w:val="none"/>
              </w:rPr>
            </w:pPr>
            <w:r>
              <w:rPr>
                <w:rFonts w:hint="eastAsia" w:ascii="宋体" w:hAnsi="宋体"/>
                <w:color w:val="auto"/>
                <w:sz w:val="24"/>
                <w:highlight w:val="none"/>
              </w:rPr>
              <w:t>合计</w:t>
            </w:r>
          </w:p>
        </w:tc>
      </w:tr>
      <w:tr w14:paraId="21B9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704C9794">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费用 </w:t>
            </w:r>
          </w:p>
        </w:tc>
        <w:tc>
          <w:tcPr>
            <w:tcW w:w="1382" w:type="dxa"/>
          </w:tcPr>
          <w:p w14:paraId="5E604FFA">
            <w:pPr>
              <w:spacing w:line="360" w:lineRule="auto"/>
              <w:jc w:val="center"/>
              <w:rPr>
                <w:rFonts w:ascii="宋体" w:hAnsi="宋体"/>
                <w:color w:val="auto"/>
                <w:sz w:val="24"/>
                <w:highlight w:val="none"/>
              </w:rPr>
            </w:pPr>
          </w:p>
        </w:tc>
        <w:tc>
          <w:tcPr>
            <w:tcW w:w="1383" w:type="dxa"/>
          </w:tcPr>
          <w:p w14:paraId="31B72E02">
            <w:pPr>
              <w:spacing w:line="360" w:lineRule="auto"/>
              <w:jc w:val="center"/>
              <w:rPr>
                <w:rFonts w:ascii="宋体" w:hAnsi="宋体"/>
                <w:color w:val="auto"/>
                <w:sz w:val="24"/>
                <w:highlight w:val="none"/>
              </w:rPr>
            </w:pPr>
          </w:p>
        </w:tc>
        <w:tc>
          <w:tcPr>
            <w:tcW w:w="1383" w:type="dxa"/>
          </w:tcPr>
          <w:p w14:paraId="0497E95A">
            <w:pPr>
              <w:spacing w:line="360" w:lineRule="auto"/>
              <w:jc w:val="center"/>
              <w:rPr>
                <w:rFonts w:ascii="宋体" w:hAnsi="宋体"/>
                <w:color w:val="auto"/>
                <w:sz w:val="24"/>
                <w:highlight w:val="none"/>
              </w:rPr>
            </w:pPr>
          </w:p>
        </w:tc>
        <w:tc>
          <w:tcPr>
            <w:tcW w:w="1476" w:type="dxa"/>
          </w:tcPr>
          <w:p w14:paraId="16C17714">
            <w:pPr>
              <w:spacing w:line="360" w:lineRule="auto"/>
              <w:jc w:val="center"/>
              <w:rPr>
                <w:rFonts w:ascii="宋体" w:hAnsi="宋体"/>
                <w:color w:val="auto"/>
                <w:sz w:val="24"/>
                <w:highlight w:val="none"/>
              </w:rPr>
            </w:pPr>
          </w:p>
        </w:tc>
        <w:tc>
          <w:tcPr>
            <w:tcW w:w="1290" w:type="dxa"/>
          </w:tcPr>
          <w:p w14:paraId="7BBB2E99">
            <w:pPr>
              <w:spacing w:line="360" w:lineRule="auto"/>
              <w:jc w:val="center"/>
              <w:rPr>
                <w:rFonts w:ascii="宋体" w:hAnsi="宋体"/>
                <w:color w:val="auto"/>
                <w:sz w:val="24"/>
                <w:highlight w:val="none"/>
              </w:rPr>
            </w:pPr>
          </w:p>
        </w:tc>
      </w:tr>
      <w:tr w14:paraId="6B63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BB3B44F">
            <w:pPr>
              <w:spacing w:line="360" w:lineRule="auto"/>
              <w:ind w:firstLine="240" w:firstLineChars="100"/>
              <w:rPr>
                <w:rFonts w:ascii="宋体" w:hAnsi="宋体"/>
                <w:color w:val="auto"/>
                <w:sz w:val="24"/>
                <w:highlight w:val="none"/>
              </w:rPr>
            </w:pPr>
          </w:p>
        </w:tc>
        <w:tc>
          <w:tcPr>
            <w:tcW w:w="1382" w:type="dxa"/>
          </w:tcPr>
          <w:p w14:paraId="5EF75DEA">
            <w:pPr>
              <w:spacing w:line="360" w:lineRule="auto"/>
              <w:jc w:val="center"/>
              <w:rPr>
                <w:rFonts w:ascii="宋体" w:hAnsi="宋体"/>
                <w:color w:val="auto"/>
                <w:sz w:val="24"/>
                <w:highlight w:val="none"/>
              </w:rPr>
            </w:pPr>
          </w:p>
        </w:tc>
        <w:tc>
          <w:tcPr>
            <w:tcW w:w="1383" w:type="dxa"/>
          </w:tcPr>
          <w:p w14:paraId="4A0D86F7">
            <w:pPr>
              <w:spacing w:line="360" w:lineRule="auto"/>
              <w:jc w:val="center"/>
              <w:rPr>
                <w:rFonts w:ascii="宋体" w:hAnsi="宋体"/>
                <w:color w:val="auto"/>
                <w:sz w:val="24"/>
                <w:highlight w:val="none"/>
              </w:rPr>
            </w:pPr>
          </w:p>
        </w:tc>
        <w:tc>
          <w:tcPr>
            <w:tcW w:w="1383" w:type="dxa"/>
          </w:tcPr>
          <w:p w14:paraId="2405521A">
            <w:pPr>
              <w:spacing w:line="360" w:lineRule="auto"/>
              <w:jc w:val="center"/>
              <w:rPr>
                <w:rFonts w:ascii="宋体" w:hAnsi="宋体"/>
                <w:color w:val="auto"/>
                <w:sz w:val="24"/>
                <w:highlight w:val="none"/>
              </w:rPr>
            </w:pPr>
          </w:p>
        </w:tc>
        <w:tc>
          <w:tcPr>
            <w:tcW w:w="1476" w:type="dxa"/>
          </w:tcPr>
          <w:p w14:paraId="5363431E">
            <w:pPr>
              <w:spacing w:line="360" w:lineRule="auto"/>
              <w:jc w:val="center"/>
              <w:rPr>
                <w:rFonts w:ascii="宋体" w:hAnsi="宋体"/>
                <w:color w:val="auto"/>
                <w:sz w:val="24"/>
                <w:highlight w:val="none"/>
              </w:rPr>
            </w:pPr>
          </w:p>
        </w:tc>
        <w:tc>
          <w:tcPr>
            <w:tcW w:w="1290" w:type="dxa"/>
          </w:tcPr>
          <w:p w14:paraId="00A943F2">
            <w:pPr>
              <w:spacing w:line="360" w:lineRule="auto"/>
              <w:jc w:val="center"/>
              <w:rPr>
                <w:rFonts w:ascii="宋体" w:hAnsi="宋体"/>
                <w:color w:val="auto"/>
                <w:sz w:val="24"/>
                <w:highlight w:val="none"/>
              </w:rPr>
            </w:pPr>
          </w:p>
        </w:tc>
      </w:tr>
    </w:tbl>
    <w:p w14:paraId="61D84895">
      <w:pPr>
        <w:spacing w:line="360" w:lineRule="auto"/>
        <w:rPr>
          <w:rFonts w:ascii="宋体" w:hAnsi="宋体"/>
          <w:color w:val="auto"/>
          <w:sz w:val="24"/>
          <w:highlight w:val="none"/>
        </w:rPr>
      </w:pPr>
    </w:p>
    <w:p w14:paraId="18CB1EA9">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受试者检查费用清单（单位：元/例）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073"/>
        <w:gridCol w:w="2074"/>
        <w:gridCol w:w="2004"/>
      </w:tblGrid>
      <w:tr w14:paraId="24BD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679C3525">
            <w:pPr>
              <w:spacing w:line="360" w:lineRule="auto"/>
              <w:jc w:val="center"/>
              <w:rPr>
                <w:rFonts w:ascii="宋体" w:hAnsi="宋体"/>
                <w:color w:val="auto"/>
                <w:sz w:val="24"/>
                <w:highlight w:val="none"/>
              </w:rPr>
            </w:pPr>
            <w:r>
              <w:rPr>
                <w:rFonts w:ascii="宋体" w:hAnsi="宋体"/>
                <w:color w:val="auto"/>
                <w:sz w:val="24"/>
                <w:highlight w:val="none"/>
              </w:rPr>
              <w:t>实验室检查</w:t>
            </w:r>
          </w:p>
        </w:tc>
        <w:tc>
          <w:tcPr>
            <w:tcW w:w="2073" w:type="dxa"/>
          </w:tcPr>
          <w:p w14:paraId="3AFEA3BB">
            <w:pPr>
              <w:spacing w:line="360" w:lineRule="auto"/>
              <w:jc w:val="center"/>
              <w:rPr>
                <w:rFonts w:ascii="宋体" w:hAnsi="宋体"/>
                <w:color w:val="auto"/>
                <w:sz w:val="24"/>
                <w:highlight w:val="none"/>
              </w:rPr>
            </w:pPr>
            <w:r>
              <w:rPr>
                <w:rFonts w:hint="eastAsia" w:ascii="宋体" w:hAnsi="宋体"/>
                <w:color w:val="auto"/>
                <w:sz w:val="24"/>
                <w:highlight w:val="none"/>
              </w:rPr>
              <w:t>单价</w:t>
            </w:r>
          </w:p>
        </w:tc>
        <w:tc>
          <w:tcPr>
            <w:tcW w:w="2074" w:type="dxa"/>
          </w:tcPr>
          <w:p w14:paraId="1E301273">
            <w:pPr>
              <w:spacing w:line="360" w:lineRule="auto"/>
              <w:jc w:val="center"/>
              <w:rPr>
                <w:rFonts w:ascii="宋体" w:hAnsi="宋体"/>
                <w:color w:val="auto"/>
                <w:sz w:val="24"/>
                <w:highlight w:val="none"/>
              </w:rPr>
            </w:pPr>
            <w:r>
              <w:rPr>
                <w:rFonts w:hint="eastAsia" w:ascii="宋体" w:hAnsi="宋体"/>
                <w:color w:val="auto"/>
                <w:sz w:val="24"/>
                <w:highlight w:val="none"/>
              </w:rPr>
              <w:t>次数</w:t>
            </w:r>
          </w:p>
        </w:tc>
        <w:tc>
          <w:tcPr>
            <w:tcW w:w="2004" w:type="dxa"/>
          </w:tcPr>
          <w:p w14:paraId="71D26743">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r>
      <w:tr w14:paraId="566F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30E73C92">
            <w:pPr>
              <w:spacing w:line="360" w:lineRule="auto"/>
              <w:rPr>
                <w:rFonts w:ascii="宋体" w:hAnsi="宋体"/>
                <w:color w:val="auto"/>
                <w:sz w:val="24"/>
                <w:highlight w:val="none"/>
              </w:rPr>
            </w:pPr>
            <w:r>
              <w:rPr>
                <w:rFonts w:ascii="宋体" w:hAnsi="宋体"/>
                <w:color w:val="auto"/>
                <w:sz w:val="24"/>
                <w:highlight w:val="none"/>
              </w:rPr>
              <w:t>十二导联心电图</w:t>
            </w:r>
          </w:p>
        </w:tc>
        <w:tc>
          <w:tcPr>
            <w:tcW w:w="2073" w:type="dxa"/>
          </w:tcPr>
          <w:p w14:paraId="0A0C1F5F">
            <w:pPr>
              <w:spacing w:line="360" w:lineRule="auto"/>
              <w:rPr>
                <w:rFonts w:ascii="宋体" w:hAnsi="宋体"/>
                <w:color w:val="auto"/>
                <w:sz w:val="24"/>
                <w:highlight w:val="none"/>
              </w:rPr>
            </w:pPr>
          </w:p>
        </w:tc>
        <w:tc>
          <w:tcPr>
            <w:tcW w:w="2074" w:type="dxa"/>
          </w:tcPr>
          <w:p w14:paraId="3CE83771">
            <w:pPr>
              <w:spacing w:line="360" w:lineRule="auto"/>
              <w:rPr>
                <w:rFonts w:ascii="宋体" w:hAnsi="宋体"/>
                <w:color w:val="auto"/>
                <w:sz w:val="24"/>
                <w:highlight w:val="none"/>
              </w:rPr>
            </w:pPr>
          </w:p>
        </w:tc>
        <w:tc>
          <w:tcPr>
            <w:tcW w:w="2004" w:type="dxa"/>
          </w:tcPr>
          <w:p w14:paraId="7C540B87">
            <w:pPr>
              <w:spacing w:line="360" w:lineRule="auto"/>
              <w:rPr>
                <w:rFonts w:ascii="宋体" w:hAnsi="宋体"/>
                <w:color w:val="auto"/>
                <w:sz w:val="24"/>
                <w:highlight w:val="none"/>
              </w:rPr>
            </w:pPr>
          </w:p>
        </w:tc>
      </w:tr>
      <w:tr w14:paraId="7684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41322C7C">
            <w:pPr>
              <w:spacing w:line="360" w:lineRule="auto"/>
              <w:rPr>
                <w:rFonts w:ascii="宋体" w:hAnsi="宋体"/>
                <w:color w:val="auto"/>
                <w:sz w:val="24"/>
                <w:highlight w:val="none"/>
              </w:rPr>
            </w:pPr>
            <w:r>
              <w:rPr>
                <w:rFonts w:ascii="宋体" w:hAnsi="宋体"/>
                <w:color w:val="auto"/>
                <w:sz w:val="24"/>
                <w:highlight w:val="none"/>
              </w:rPr>
              <w:t>胸部X射线</w:t>
            </w:r>
          </w:p>
        </w:tc>
        <w:tc>
          <w:tcPr>
            <w:tcW w:w="2073" w:type="dxa"/>
          </w:tcPr>
          <w:p w14:paraId="5F8264A1">
            <w:pPr>
              <w:spacing w:line="360" w:lineRule="auto"/>
              <w:rPr>
                <w:rFonts w:ascii="宋体" w:hAnsi="宋体"/>
                <w:color w:val="auto"/>
                <w:sz w:val="24"/>
                <w:highlight w:val="none"/>
              </w:rPr>
            </w:pPr>
          </w:p>
        </w:tc>
        <w:tc>
          <w:tcPr>
            <w:tcW w:w="2074" w:type="dxa"/>
          </w:tcPr>
          <w:p w14:paraId="39D5799A">
            <w:pPr>
              <w:spacing w:line="360" w:lineRule="auto"/>
              <w:rPr>
                <w:rFonts w:ascii="宋体" w:hAnsi="宋体"/>
                <w:color w:val="auto"/>
                <w:sz w:val="24"/>
                <w:highlight w:val="none"/>
              </w:rPr>
            </w:pPr>
          </w:p>
        </w:tc>
        <w:tc>
          <w:tcPr>
            <w:tcW w:w="2004" w:type="dxa"/>
          </w:tcPr>
          <w:p w14:paraId="6AAD69CA">
            <w:pPr>
              <w:spacing w:line="360" w:lineRule="auto"/>
              <w:rPr>
                <w:rFonts w:ascii="宋体" w:hAnsi="宋体"/>
                <w:color w:val="auto"/>
                <w:sz w:val="24"/>
                <w:highlight w:val="none"/>
              </w:rPr>
            </w:pPr>
          </w:p>
        </w:tc>
      </w:tr>
      <w:tr w14:paraId="29D5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069952F0">
            <w:pPr>
              <w:spacing w:line="360" w:lineRule="auto"/>
              <w:rPr>
                <w:rFonts w:ascii="宋体" w:hAnsi="宋体"/>
                <w:color w:val="auto"/>
                <w:sz w:val="24"/>
                <w:highlight w:val="none"/>
              </w:rPr>
            </w:pPr>
            <w:r>
              <w:rPr>
                <w:rFonts w:ascii="宋体" w:hAnsi="宋体"/>
                <w:color w:val="auto"/>
                <w:sz w:val="24"/>
                <w:highlight w:val="none"/>
              </w:rPr>
              <w:t>妊娠试验</w:t>
            </w:r>
            <w:r>
              <w:rPr>
                <w:rFonts w:hint="eastAsia" w:ascii="宋体" w:hAnsi="宋体"/>
                <w:color w:val="auto"/>
                <w:sz w:val="24"/>
                <w:highlight w:val="none"/>
              </w:rPr>
              <w:t xml:space="preserve"> </w:t>
            </w:r>
          </w:p>
        </w:tc>
        <w:tc>
          <w:tcPr>
            <w:tcW w:w="2073" w:type="dxa"/>
          </w:tcPr>
          <w:p w14:paraId="44A98020">
            <w:pPr>
              <w:spacing w:line="360" w:lineRule="auto"/>
              <w:rPr>
                <w:rFonts w:ascii="宋体" w:hAnsi="宋体"/>
                <w:color w:val="auto"/>
                <w:sz w:val="24"/>
                <w:highlight w:val="none"/>
              </w:rPr>
            </w:pPr>
          </w:p>
        </w:tc>
        <w:tc>
          <w:tcPr>
            <w:tcW w:w="2074" w:type="dxa"/>
          </w:tcPr>
          <w:p w14:paraId="58D3DF90">
            <w:pPr>
              <w:spacing w:line="360" w:lineRule="auto"/>
              <w:rPr>
                <w:rFonts w:ascii="宋体" w:hAnsi="宋体"/>
                <w:color w:val="auto"/>
                <w:sz w:val="24"/>
                <w:highlight w:val="none"/>
              </w:rPr>
            </w:pPr>
          </w:p>
        </w:tc>
        <w:tc>
          <w:tcPr>
            <w:tcW w:w="2004" w:type="dxa"/>
          </w:tcPr>
          <w:p w14:paraId="68ED0873">
            <w:pPr>
              <w:spacing w:line="360" w:lineRule="auto"/>
              <w:rPr>
                <w:rFonts w:ascii="宋体" w:hAnsi="宋体"/>
                <w:color w:val="auto"/>
                <w:sz w:val="24"/>
                <w:highlight w:val="none"/>
              </w:rPr>
            </w:pPr>
          </w:p>
        </w:tc>
      </w:tr>
      <w:tr w14:paraId="554E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4833DE23">
            <w:pPr>
              <w:spacing w:line="360" w:lineRule="auto"/>
              <w:rPr>
                <w:rFonts w:ascii="宋体" w:hAnsi="宋体"/>
                <w:color w:val="auto"/>
                <w:sz w:val="24"/>
                <w:highlight w:val="none"/>
              </w:rPr>
            </w:pPr>
            <w:r>
              <w:rPr>
                <w:rFonts w:ascii="宋体" w:hAnsi="宋体"/>
                <w:color w:val="auto"/>
                <w:sz w:val="24"/>
                <w:highlight w:val="none"/>
              </w:rPr>
              <w:t>……</w:t>
            </w:r>
          </w:p>
        </w:tc>
        <w:tc>
          <w:tcPr>
            <w:tcW w:w="2073" w:type="dxa"/>
          </w:tcPr>
          <w:p w14:paraId="468B5372">
            <w:pPr>
              <w:spacing w:line="360" w:lineRule="auto"/>
              <w:rPr>
                <w:rFonts w:ascii="宋体" w:hAnsi="宋体"/>
                <w:color w:val="auto"/>
                <w:sz w:val="24"/>
                <w:highlight w:val="none"/>
              </w:rPr>
            </w:pPr>
          </w:p>
        </w:tc>
        <w:tc>
          <w:tcPr>
            <w:tcW w:w="2074" w:type="dxa"/>
          </w:tcPr>
          <w:p w14:paraId="0848FBAE">
            <w:pPr>
              <w:spacing w:line="360" w:lineRule="auto"/>
              <w:rPr>
                <w:rFonts w:ascii="宋体" w:hAnsi="宋体"/>
                <w:color w:val="auto"/>
                <w:sz w:val="24"/>
                <w:highlight w:val="none"/>
              </w:rPr>
            </w:pPr>
          </w:p>
        </w:tc>
        <w:tc>
          <w:tcPr>
            <w:tcW w:w="2004" w:type="dxa"/>
          </w:tcPr>
          <w:p w14:paraId="6E4529D4">
            <w:pPr>
              <w:spacing w:line="360" w:lineRule="auto"/>
              <w:rPr>
                <w:rFonts w:ascii="宋体" w:hAnsi="宋体"/>
                <w:color w:val="auto"/>
                <w:sz w:val="24"/>
                <w:highlight w:val="none"/>
              </w:rPr>
            </w:pPr>
          </w:p>
        </w:tc>
      </w:tr>
      <w:tr w14:paraId="7459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527DF315">
            <w:pPr>
              <w:spacing w:line="360" w:lineRule="auto"/>
              <w:rPr>
                <w:rFonts w:ascii="宋体" w:hAnsi="宋体"/>
                <w:color w:val="auto"/>
                <w:sz w:val="24"/>
                <w:highlight w:val="none"/>
              </w:rPr>
            </w:pPr>
            <w:r>
              <w:rPr>
                <w:rFonts w:hint="eastAsia" w:ascii="宋体" w:hAnsi="宋体"/>
                <w:color w:val="auto"/>
                <w:sz w:val="24"/>
                <w:highlight w:val="none"/>
              </w:rPr>
              <w:t>合计</w:t>
            </w:r>
          </w:p>
        </w:tc>
        <w:tc>
          <w:tcPr>
            <w:tcW w:w="2073" w:type="dxa"/>
          </w:tcPr>
          <w:p w14:paraId="46BD6FA7">
            <w:pPr>
              <w:spacing w:line="360" w:lineRule="auto"/>
              <w:rPr>
                <w:rFonts w:ascii="宋体" w:hAnsi="宋体"/>
                <w:color w:val="auto"/>
                <w:sz w:val="24"/>
                <w:highlight w:val="none"/>
              </w:rPr>
            </w:pPr>
          </w:p>
        </w:tc>
        <w:tc>
          <w:tcPr>
            <w:tcW w:w="2074" w:type="dxa"/>
          </w:tcPr>
          <w:p w14:paraId="2D6E1E00">
            <w:pPr>
              <w:spacing w:line="360" w:lineRule="auto"/>
              <w:rPr>
                <w:rFonts w:ascii="宋体" w:hAnsi="宋体"/>
                <w:color w:val="auto"/>
                <w:sz w:val="24"/>
                <w:highlight w:val="none"/>
              </w:rPr>
            </w:pPr>
          </w:p>
        </w:tc>
        <w:tc>
          <w:tcPr>
            <w:tcW w:w="2004" w:type="dxa"/>
          </w:tcPr>
          <w:p w14:paraId="554A3742">
            <w:pPr>
              <w:spacing w:line="360" w:lineRule="auto"/>
              <w:rPr>
                <w:rFonts w:ascii="宋体" w:hAnsi="宋体"/>
                <w:color w:val="auto"/>
                <w:sz w:val="24"/>
                <w:highlight w:val="none"/>
              </w:rPr>
            </w:pPr>
          </w:p>
        </w:tc>
      </w:tr>
    </w:tbl>
    <w:p w14:paraId="15489624">
      <w:pPr>
        <w:spacing w:line="360" w:lineRule="auto"/>
        <w:rPr>
          <w:rFonts w:ascii="宋体" w:hAnsi="宋体"/>
          <w:color w:val="auto"/>
          <w:sz w:val="24"/>
          <w:highlight w:val="none"/>
        </w:rPr>
      </w:pPr>
    </w:p>
    <w:p w14:paraId="6A233574">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受试者补助费用清单（单位：元/例）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3"/>
        <w:gridCol w:w="1383"/>
        <w:gridCol w:w="1506"/>
        <w:gridCol w:w="1260"/>
      </w:tblGrid>
      <w:tr w14:paraId="66FF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061CB47">
            <w:pPr>
              <w:spacing w:line="360" w:lineRule="auto"/>
              <w:rPr>
                <w:rFonts w:ascii="宋体" w:hAnsi="宋体"/>
                <w:color w:val="auto"/>
                <w:sz w:val="24"/>
                <w:highlight w:val="none"/>
              </w:rPr>
            </w:pPr>
          </w:p>
        </w:tc>
        <w:tc>
          <w:tcPr>
            <w:tcW w:w="1382" w:type="dxa"/>
          </w:tcPr>
          <w:p w14:paraId="381B1D82">
            <w:pPr>
              <w:spacing w:line="360" w:lineRule="auto"/>
              <w:jc w:val="center"/>
              <w:rPr>
                <w:rFonts w:ascii="宋体" w:hAnsi="宋体"/>
                <w:color w:val="auto"/>
                <w:sz w:val="24"/>
                <w:highlight w:val="none"/>
              </w:rPr>
            </w:pPr>
            <w:r>
              <w:rPr>
                <w:rFonts w:ascii="宋体" w:hAnsi="宋体"/>
                <w:color w:val="auto"/>
                <w:sz w:val="24"/>
                <w:highlight w:val="none"/>
              </w:rPr>
              <w:t>访视1</w:t>
            </w:r>
          </w:p>
        </w:tc>
        <w:tc>
          <w:tcPr>
            <w:tcW w:w="1383" w:type="dxa"/>
          </w:tcPr>
          <w:p w14:paraId="1CA126FC">
            <w:pPr>
              <w:spacing w:line="360" w:lineRule="auto"/>
              <w:jc w:val="center"/>
              <w:rPr>
                <w:rFonts w:ascii="宋体" w:hAnsi="宋体"/>
                <w:color w:val="auto"/>
                <w:sz w:val="24"/>
                <w:highlight w:val="none"/>
              </w:rPr>
            </w:pPr>
            <w:r>
              <w:rPr>
                <w:rFonts w:ascii="宋体" w:hAnsi="宋体"/>
                <w:color w:val="auto"/>
                <w:sz w:val="24"/>
                <w:highlight w:val="none"/>
              </w:rPr>
              <w:t>访视2</w:t>
            </w:r>
          </w:p>
        </w:tc>
        <w:tc>
          <w:tcPr>
            <w:tcW w:w="1383" w:type="dxa"/>
          </w:tcPr>
          <w:p w14:paraId="435D0A4C">
            <w:pPr>
              <w:spacing w:line="360" w:lineRule="auto"/>
              <w:jc w:val="center"/>
              <w:rPr>
                <w:rFonts w:ascii="宋体" w:hAnsi="宋体"/>
                <w:color w:val="auto"/>
                <w:sz w:val="24"/>
                <w:highlight w:val="none"/>
              </w:rPr>
            </w:pPr>
            <w:r>
              <w:rPr>
                <w:rFonts w:ascii="宋体" w:hAnsi="宋体"/>
                <w:color w:val="auto"/>
                <w:sz w:val="24"/>
                <w:highlight w:val="none"/>
              </w:rPr>
              <w:t>访视3</w:t>
            </w:r>
          </w:p>
        </w:tc>
        <w:tc>
          <w:tcPr>
            <w:tcW w:w="1506" w:type="dxa"/>
          </w:tcPr>
          <w:p w14:paraId="49CDC470">
            <w:pPr>
              <w:spacing w:line="360" w:lineRule="auto"/>
              <w:jc w:val="center"/>
              <w:rPr>
                <w:rFonts w:ascii="宋体" w:hAnsi="宋体"/>
                <w:color w:val="auto"/>
                <w:sz w:val="24"/>
                <w:highlight w:val="none"/>
              </w:rPr>
            </w:pPr>
            <w:r>
              <w:rPr>
                <w:rFonts w:ascii="宋体" w:hAnsi="宋体"/>
                <w:color w:val="auto"/>
                <w:sz w:val="24"/>
                <w:highlight w:val="none"/>
              </w:rPr>
              <w:t>访视......</w:t>
            </w:r>
          </w:p>
        </w:tc>
        <w:tc>
          <w:tcPr>
            <w:tcW w:w="1260" w:type="dxa"/>
          </w:tcPr>
          <w:p w14:paraId="22093380">
            <w:pPr>
              <w:spacing w:line="360" w:lineRule="auto"/>
              <w:jc w:val="center"/>
              <w:rPr>
                <w:rFonts w:ascii="宋体" w:hAnsi="宋体"/>
                <w:color w:val="auto"/>
                <w:sz w:val="24"/>
                <w:highlight w:val="none"/>
              </w:rPr>
            </w:pPr>
            <w:r>
              <w:rPr>
                <w:rFonts w:hint="eastAsia" w:ascii="宋体" w:hAnsi="宋体"/>
                <w:color w:val="auto"/>
                <w:sz w:val="24"/>
                <w:highlight w:val="none"/>
              </w:rPr>
              <w:t>合计</w:t>
            </w:r>
          </w:p>
        </w:tc>
      </w:tr>
      <w:tr w14:paraId="688F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F1E9ECA">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费用 </w:t>
            </w:r>
          </w:p>
        </w:tc>
        <w:tc>
          <w:tcPr>
            <w:tcW w:w="1382" w:type="dxa"/>
          </w:tcPr>
          <w:p w14:paraId="6F5F5734">
            <w:pPr>
              <w:spacing w:line="360" w:lineRule="auto"/>
              <w:jc w:val="center"/>
              <w:rPr>
                <w:rFonts w:ascii="宋体" w:hAnsi="宋体"/>
                <w:color w:val="auto"/>
                <w:sz w:val="24"/>
                <w:highlight w:val="none"/>
              </w:rPr>
            </w:pPr>
          </w:p>
        </w:tc>
        <w:tc>
          <w:tcPr>
            <w:tcW w:w="1383" w:type="dxa"/>
          </w:tcPr>
          <w:p w14:paraId="24B43983">
            <w:pPr>
              <w:spacing w:line="360" w:lineRule="auto"/>
              <w:jc w:val="center"/>
              <w:rPr>
                <w:rFonts w:ascii="宋体" w:hAnsi="宋体"/>
                <w:color w:val="auto"/>
                <w:sz w:val="24"/>
                <w:highlight w:val="none"/>
              </w:rPr>
            </w:pPr>
          </w:p>
        </w:tc>
        <w:tc>
          <w:tcPr>
            <w:tcW w:w="1383" w:type="dxa"/>
          </w:tcPr>
          <w:p w14:paraId="4E033CE8">
            <w:pPr>
              <w:spacing w:line="360" w:lineRule="auto"/>
              <w:jc w:val="center"/>
              <w:rPr>
                <w:rFonts w:ascii="宋体" w:hAnsi="宋体"/>
                <w:color w:val="auto"/>
                <w:sz w:val="24"/>
                <w:highlight w:val="none"/>
              </w:rPr>
            </w:pPr>
          </w:p>
        </w:tc>
        <w:tc>
          <w:tcPr>
            <w:tcW w:w="1506" w:type="dxa"/>
          </w:tcPr>
          <w:p w14:paraId="05C8C01B">
            <w:pPr>
              <w:spacing w:line="360" w:lineRule="auto"/>
              <w:jc w:val="center"/>
              <w:rPr>
                <w:rFonts w:ascii="宋体" w:hAnsi="宋体"/>
                <w:color w:val="auto"/>
                <w:sz w:val="24"/>
                <w:highlight w:val="none"/>
              </w:rPr>
            </w:pPr>
          </w:p>
        </w:tc>
        <w:tc>
          <w:tcPr>
            <w:tcW w:w="1260" w:type="dxa"/>
          </w:tcPr>
          <w:p w14:paraId="791B29DE">
            <w:pPr>
              <w:spacing w:line="360" w:lineRule="auto"/>
              <w:jc w:val="center"/>
              <w:rPr>
                <w:rFonts w:ascii="宋体" w:hAnsi="宋体"/>
                <w:color w:val="auto"/>
                <w:sz w:val="24"/>
                <w:highlight w:val="none"/>
              </w:rPr>
            </w:pPr>
          </w:p>
        </w:tc>
      </w:tr>
    </w:tbl>
    <w:p w14:paraId="110934D5">
      <w:pPr>
        <w:spacing w:line="360" w:lineRule="auto"/>
        <w:rPr>
          <w:rFonts w:ascii="宋体" w:hAnsi="宋体"/>
          <w:color w:val="auto"/>
          <w:sz w:val="24"/>
          <w:highlight w:val="none"/>
        </w:rPr>
      </w:pPr>
    </w:p>
    <w:p w14:paraId="4D7CDCCA">
      <w:pPr>
        <w:spacing w:line="360" w:lineRule="auto"/>
        <w:rPr>
          <w:rFonts w:ascii="宋体" w:hAnsi="宋体"/>
          <w:color w:val="auto"/>
          <w:sz w:val="24"/>
          <w:highlight w:val="none"/>
        </w:rPr>
      </w:pPr>
      <w:r>
        <w:rPr>
          <w:rFonts w:hint="eastAsia" w:ascii="宋体" w:hAnsi="宋体"/>
          <w:color w:val="auto"/>
          <w:sz w:val="24"/>
          <w:highlight w:val="none"/>
        </w:rPr>
        <w:t>4.贮存药品信息表</w:t>
      </w:r>
    </w:p>
    <w:tbl>
      <w:tblPr>
        <w:tblStyle w:val="4"/>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73"/>
        <w:gridCol w:w="1952"/>
        <w:gridCol w:w="2835"/>
      </w:tblGrid>
      <w:tr w14:paraId="04C4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4" w:type="dxa"/>
            <w:vAlign w:val="center"/>
          </w:tcPr>
          <w:p w14:paraId="10D3B17D">
            <w:pPr>
              <w:spacing w:line="360" w:lineRule="auto"/>
              <w:jc w:val="center"/>
              <w:rPr>
                <w:rFonts w:ascii="宋体" w:hAnsi="宋体"/>
                <w:color w:val="auto"/>
                <w:sz w:val="24"/>
                <w:highlight w:val="none"/>
              </w:rPr>
            </w:pPr>
            <w:r>
              <w:rPr>
                <w:rFonts w:hint="eastAsia" w:ascii="宋体" w:hAnsi="宋体"/>
                <w:color w:val="auto"/>
                <w:sz w:val="24"/>
                <w:highlight w:val="none"/>
              </w:rPr>
              <w:t>药品名称</w:t>
            </w:r>
          </w:p>
        </w:tc>
        <w:tc>
          <w:tcPr>
            <w:tcW w:w="1773" w:type="dxa"/>
            <w:vAlign w:val="center"/>
          </w:tcPr>
          <w:p w14:paraId="29739BA3">
            <w:pPr>
              <w:spacing w:line="360" w:lineRule="auto"/>
              <w:jc w:val="center"/>
              <w:rPr>
                <w:rFonts w:ascii="宋体" w:hAnsi="宋体"/>
                <w:color w:val="auto"/>
                <w:sz w:val="24"/>
                <w:highlight w:val="none"/>
              </w:rPr>
            </w:pPr>
            <w:r>
              <w:rPr>
                <w:rFonts w:hint="eastAsia" w:ascii="宋体" w:hAnsi="宋体"/>
                <w:color w:val="auto"/>
                <w:sz w:val="24"/>
                <w:highlight w:val="none"/>
              </w:rPr>
              <w:t>药品剂型</w:t>
            </w:r>
          </w:p>
        </w:tc>
        <w:tc>
          <w:tcPr>
            <w:tcW w:w="1952" w:type="dxa"/>
            <w:vAlign w:val="center"/>
          </w:tcPr>
          <w:p w14:paraId="4106FF80">
            <w:pPr>
              <w:spacing w:line="360" w:lineRule="auto"/>
              <w:jc w:val="center"/>
              <w:rPr>
                <w:rFonts w:ascii="宋体" w:hAnsi="宋体"/>
                <w:color w:val="auto"/>
                <w:sz w:val="24"/>
                <w:highlight w:val="none"/>
              </w:rPr>
            </w:pPr>
            <w:r>
              <w:rPr>
                <w:rFonts w:hint="eastAsia" w:ascii="宋体" w:hAnsi="宋体"/>
                <w:color w:val="auto"/>
                <w:sz w:val="24"/>
                <w:highlight w:val="none"/>
              </w:rPr>
              <w:t>贮存条件</w:t>
            </w:r>
          </w:p>
          <w:p w14:paraId="32768D38">
            <w:pPr>
              <w:spacing w:line="360" w:lineRule="auto"/>
              <w:jc w:val="center"/>
              <w:rPr>
                <w:rFonts w:ascii="宋体" w:hAnsi="宋体"/>
                <w:color w:val="auto"/>
                <w:sz w:val="24"/>
                <w:highlight w:val="none"/>
              </w:rPr>
            </w:pPr>
            <w:r>
              <w:rPr>
                <w:rFonts w:hint="eastAsia" w:ascii="宋体" w:hAnsi="宋体"/>
                <w:color w:val="auto"/>
                <w:sz w:val="24"/>
                <w:highlight w:val="none"/>
              </w:rPr>
              <w:t>（方案要求）</w:t>
            </w:r>
          </w:p>
        </w:tc>
        <w:tc>
          <w:tcPr>
            <w:tcW w:w="2835" w:type="dxa"/>
            <w:vAlign w:val="center"/>
          </w:tcPr>
          <w:p w14:paraId="7F5F624B">
            <w:pPr>
              <w:spacing w:line="360" w:lineRule="auto"/>
              <w:jc w:val="center"/>
              <w:rPr>
                <w:rFonts w:ascii="宋体" w:hAnsi="宋体"/>
                <w:color w:val="auto"/>
                <w:sz w:val="24"/>
                <w:highlight w:val="none"/>
              </w:rPr>
            </w:pPr>
            <w:r>
              <w:rPr>
                <w:rFonts w:hint="eastAsia" w:ascii="宋体" w:hAnsi="宋体"/>
                <w:color w:val="auto"/>
                <w:sz w:val="24"/>
                <w:highlight w:val="none"/>
              </w:rPr>
              <w:t>药品类型</w:t>
            </w:r>
          </w:p>
          <w:p w14:paraId="6F071169">
            <w:pPr>
              <w:spacing w:line="360" w:lineRule="auto"/>
              <w:jc w:val="center"/>
              <w:rPr>
                <w:rFonts w:ascii="宋体" w:hAnsi="宋体"/>
                <w:color w:val="auto"/>
                <w:sz w:val="24"/>
                <w:highlight w:val="none"/>
              </w:rPr>
            </w:pPr>
            <w:r>
              <w:rPr>
                <w:rFonts w:hint="eastAsia" w:ascii="宋体" w:hAnsi="宋体"/>
                <w:color w:val="auto"/>
                <w:sz w:val="24"/>
                <w:highlight w:val="none"/>
              </w:rPr>
              <w:t>（基础药品/附加药品）</w:t>
            </w:r>
          </w:p>
        </w:tc>
      </w:tr>
      <w:tr w14:paraId="655A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04" w:type="dxa"/>
          </w:tcPr>
          <w:p w14:paraId="4B7B3EBD">
            <w:pPr>
              <w:spacing w:line="360" w:lineRule="auto"/>
              <w:ind w:firstLine="240" w:firstLineChars="100"/>
              <w:rPr>
                <w:rFonts w:ascii="宋体" w:hAnsi="宋体"/>
                <w:color w:val="auto"/>
                <w:sz w:val="24"/>
                <w:highlight w:val="none"/>
              </w:rPr>
            </w:pPr>
          </w:p>
        </w:tc>
        <w:tc>
          <w:tcPr>
            <w:tcW w:w="1773" w:type="dxa"/>
          </w:tcPr>
          <w:p w14:paraId="1CBE9C4A">
            <w:pPr>
              <w:spacing w:line="360" w:lineRule="auto"/>
              <w:jc w:val="center"/>
              <w:rPr>
                <w:rFonts w:ascii="宋体" w:hAnsi="宋体"/>
                <w:color w:val="auto"/>
                <w:sz w:val="24"/>
                <w:highlight w:val="none"/>
              </w:rPr>
            </w:pPr>
          </w:p>
        </w:tc>
        <w:tc>
          <w:tcPr>
            <w:tcW w:w="1952" w:type="dxa"/>
          </w:tcPr>
          <w:p w14:paraId="4C5EBC22">
            <w:pPr>
              <w:spacing w:line="360" w:lineRule="auto"/>
              <w:jc w:val="center"/>
              <w:rPr>
                <w:rFonts w:ascii="宋体" w:hAnsi="宋体"/>
                <w:color w:val="auto"/>
                <w:sz w:val="24"/>
                <w:highlight w:val="none"/>
              </w:rPr>
            </w:pPr>
          </w:p>
        </w:tc>
        <w:tc>
          <w:tcPr>
            <w:tcW w:w="2835" w:type="dxa"/>
          </w:tcPr>
          <w:p w14:paraId="2F4BBA8F">
            <w:pPr>
              <w:spacing w:line="360" w:lineRule="auto"/>
              <w:jc w:val="center"/>
              <w:rPr>
                <w:rFonts w:ascii="宋体" w:hAnsi="宋体"/>
                <w:color w:val="auto"/>
                <w:sz w:val="24"/>
                <w:highlight w:val="none"/>
              </w:rPr>
            </w:pPr>
          </w:p>
        </w:tc>
      </w:tr>
      <w:tr w14:paraId="6BA2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04" w:type="dxa"/>
          </w:tcPr>
          <w:p w14:paraId="0DFF89A4">
            <w:pPr>
              <w:spacing w:line="360" w:lineRule="auto"/>
              <w:ind w:firstLine="240" w:firstLineChars="100"/>
              <w:rPr>
                <w:rFonts w:ascii="宋体" w:hAnsi="宋体"/>
                <w:color w:val="auto"/>
                <w:sz w:val="24"/>
                <w:highlight w:val="none"/>
              </w:rPr>
            </w:pPr>
          </w:p>
        </w:tc>
        <w:tc>
          <w:tcPr>
            <w:tcW w:w="1773" w:type="dxa"/>
          </w:tcPr>
          <w:p w14:paraId="78422F1C">
            <w:pPr>
              <w:spacing w:line="360" w:lineRule="auto"/>
              <w:jc w:val="center"/>
              <w:rPr>
                <w:rFonts w:ascii="宋体" w:hAnsi="宋体"/>
                <w:color w:val="auto"/>
                <w:sz w:val="24"/>
                <w:highlight w:val="none"/>
              </w:rPr>
            </w:pPr>
          </w:p>
        </w:tc>
        <w:tc>
          <w:tcPr>
            <w:tcW w:w="1952" w:type="dxa"/>
          </w:tcPr>
          <w:p w14:paraId="3A4BCF2F">
            <w:pPr>
              <w:spacing w:line="360" w:lineRule="auto"/>
              <w:jc w:val="center"/>
              <w:rPr>
                <w:rFonts w:ascii="宋体" w:hAnsi="宋体"/>
                <w:color w:val="auto"/>
                <w:sz w:val="24"/>
                <w:highlight w:val="none"/>
              </w:rPr>
            </w:pPr>
          </w:p>
        </w:tc>
        <w:tc>
          <w:tcPr>
            <w:tcW w:w="2835" w:type="dxa"/>
          </w:tcPr>
          <w:p w14:paraId="0B3255F7">
            <w:pPr>
              <w:spacing w:line="360" w:lineRule="auto"/>
              <w:jc w:val="center"/>
              <w:rPr>
                <w:rFonts w:ascii="宋体" w:hAnsi="宋体"/>
                <w:color w:val="auto"/>
                <w:sz w:val="24"/>
                <w:highlight w:val="none"/>
              </w:rPr>
            </w:pPr>
          </w:p>
        </w:tc>
      </w:tr>
      <w:tr w14:paraId="06FE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04" w:type="dxa"/>
          </w:tcPr>
          <w:p w14:paraId="344B7564">
            <w:pPr>
              <w:spacing w:line="360" w:lineRule="auto"/>
              <w:ind w:firstLine="240" w:firstLineChars="100"/>
              <w:rPr>
                <w:rFonts w:ascii="宋体" w:hAnsi="宋体"/>
                <w:color w:val="auto"/>
                <w:sz w:val="24"/>
                <w:highlight w:val="none"/>
              </w:rPr>
            </w:pPr>
          </w:p>
        </w:tc>
        <w:tc>
          <w:tcPr>
            <w:tcW w:w="1773" w:type="dxa"/>
          </w:tcPr>
          <w:p w14:paraId="26CDC7A1">
            <w:pPr>
              <w:spacing w:line="360" w:lineRule="auto"/>
              <w:jc w:val="center"/>
              <w:rPr>
                <w:rFonts w:ascii="宋体" w:hAnsi="宋体"/>
                <w:color w:val="auto"/>
                <w:sz w:val="24"/>
                <w:highlight w:val="none"/>
              </w:rPr>
            </w:pPr>
          </w:p>
        </w:tc>
        <w:tc>
          <w:tcPr>
            <w:tcW w:w="1952" w:type="dxa"/>
          </w:tcPr>
          <w:p w14:paraId="25DD4441">
            <w:pPr>
              <w:spacing w:line="360" w:lineRule="auto"/>
              <w:jc w:val="center"/>
              <w:rPr>
                <w:rFonts w:ascii="宋体" w:hAnsi="宋体"/>
                <w:color w:val="auto"/>
                <w:sz w:val="24"/>
                <w:highlight w:val="none"/>
              </w:rPr>
            </w:pPr>
          </w:p>
        </w:tc>
        <w:tc>
          <w:tcPr>
            <w:tcW w:w="2835" w:type="dxa"/>
          </w:tcPr>
          <w:p w14:paraId="36839ED8">
            <w:pPr>
              <w:spacing w:line="360" w:lineRule="auto"/>
              <w:jc w:val="center"/>
              <w:rPr>
                <w:rFonts w:ascii="宋体" w:hAnsi="宋体"/>
                <w:color w:val="auto"/>
                <w:sz w:val="24"/>
                <w:highlight w:val="none"/>
              </w:rPr>
            </w:pPr>
          </w:p>
        </w:tc>
      </w:tr>
    </w:tbl>
    <w:p w14:paraId="09E16AA0">
      <w:pPr>
        <w:spacing w:line="360" w:lineRule="auto"/>
        <w:rPr>
          <w:rFonts w:ascii="宋体" w:hAnsi="宋体"/>
          <w:color w:val="auto"/>
          <w:sz w:val="24"/>
          <w:highlight w:val="none"/>
        </w:rPr>
      </w:pPr>
    </w:p>
    <w:p w14:paraId="2E0761F5">
      <w:pPr>
        <w:spacing w:line="360" w:lineRule="auto"/>
        <w:rPr>
          <w:rFonts w:ascii="宋体" w:hAnsi="宋体"/>
          <w:color w:val="auto"/>
          <w:sz w:val="24"/>
          <w:highlight w:val="none"/>
        </w:rPr>
      </w:pPr>
    </w:p>
    <w:p w14:paraId="078A496A">
      <w:pPr>
        <w:spacing w:line="360" w:lineRule="auto"/>
        <w:rPr>
          <w:rFonts w:ascii="宋体" w:hAnsi="宋体"/>
          <w:color w:val="auto"/>
          <w:sz w:val="24"/>
          <w:highlight w:val="none"/>
        </w:rPr>
      </w:pPr>
    </w:p>
    <w:p w14:paraId="75EE8EF6">
      <w:pPr>
        <w:spacing w:line="360" w:lineRule="auto"/>
        <w:rPr>
          <w:rFonts w:ascii="宋体" w:hAnsi="宋体"/>
          <w:color w:val="auto"/>
          <w:sz w:val="24"/>
          <w:highlight w:val="none"/>
        </w:rPr>
      </w:pPr>
    </w:p>
    <w:p w14:paraId="5ECAB6A8">
      <w:pPr>
        <w:spacing w:line="360" w:lineRule="auto"/>
        <w:rPr>
          <w:rFonts w:ascii="宋体" w:hAnsi="宋体"/>
          <w:color w:val="auto"/>
          <w:sz w:val="24"/>
          <w:highlight w:val="none"/>
        </w:rPr>
      </w:pPr>
    </w:p>
    <w:p w14:paraId="34454352">
      <w:pPr>
        <w:spacing w:line="360" w:lineRule="auto"/>
        <w:rPr>
          <w:rFonts w:ascii="宋体" w:hAnsi="宋体"/>
          <w:color w:val="auto"/>
          <w:sz w:val="24"/>
          <w:highlight w:val="none"/>
        </w:rPr>
      </w:pPr>
    </w:p>
    <w:p w14:paraId="0CAD3A65">
      <w:pPr>
        <w:spacing w:line="360" w:lineRule="auto"/>
        <w:rPr>
          <w:rFonts w:ascii="宋体" w:hAnsi="宋体"/>
          <w:color w:val="auto"/>
          <w:sz w:val="24"/>
          <w:highlight w:val="none"/>
        </w:rPr>
      </w:pPr>
    </w:p>
    <w:p w14:paraId="6A998EFD">
      <w:pPr>
        <w:spacing w:line="360" w:lineRule="auto"/>
        <w:rPr>
          <w:rFonts w:ascii="宋体" w:hAnsi="宋体"/>
          <w:color w:val="auto"/>
          <w:sz w:val="24"/>
          <w:highlight w:val="none"/>
        </w:rPr>
      </w:pPr>
      <w:r>
        <w:rPr>
          <w:rFonts w:hint="eastAsia" w:ascii="宋体" w:hAnsi="宋体"/>
          <w:color w:val="auto"/>
          <w:sz w:val="24"/>
          <w:highlight w:val="none"/>
        </w:rPr>
        <w:t>附件二</w:t>
      </w:r>
    </w:p>
    <w:p w14:paraId="01BBD437">
      <w:pPr>
        <w:spacing w:line="360" w:lineRule="auto"/>
        <w:ind w:firstLine="405"/>
        <w:jc w:val="center"/>
        <w:rPr>
          <w:rFonts w:ascii="宋体" w:hAnsi="宋体"/>
          <w:b/>
          <w:bCs/>
          <w:color w:val="auto"/>
          <w:sz w:val="24"/>
          <w:highlight w:val="none"/>
        </w:rPr>
      </w:pPr>
      <w:r>
        <w:rPr>
          <w:rFonts w:hint="eastAsia" w:ascii="宋体" w:hAnsi="宋体"/>
          <w:b/>
          <w:bCs/>
          <w:color w:val="auto"/>
          <w:sz w:val="24"/>
          <w:highlight w:val="none"/>
        </w:rPr>
        <w:t>临床试验药品管理费收费标准</w:t>
      </w:r>
    </w:p>
    <w:p w14:paraId="5BDC449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（一）临床试验药品管理费预付款</w:t>
      </w:r>
    </w:p>
    <w:p w14:paraId="182D2BF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项目仅涉及基础管理费无附加管理费，每年度预付款为5000.00元；其他情况，每年度预付款为10000.00元。进行尾款结算时，预付款多退少补（已经产生的税费及附加费不予退还）</w:t>
      </w:r>
    </w:p>
    <w:p w14:paraId="51296E7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（二）临床试验药品管理费年度费用结算及尾款结算</w:t>
      </w:r>
    </w:p>
    <w:p w14:paraId="5EBA3B50">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首批临床试验药品接收入库后，临床试验药品管理费按年度结算；最后一批药品自临床试验药房出库退还后，可进行药品管理费尾款结算。结算标准如下：</w:t>
      </w:r>
    </w:p>
    <w:p w14:paraId="183B30D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临床试验药品管理费=基础管理费+附加管理费</w:t>
      </w:r>
    </w:p>
    <w:p w14:paraId="0FDBB1C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基础管理费收费标准</w:t>
      </w:r>
    </w:p>
    <w:p w14:paraId="4781736F">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基础药品为以下（1）-（5）的其中的一种情况。2500元/半年/项目，包含1个单位的免费贮存空间（1个单位=40L）；基础药品以外的其他药品需要收取药品相关附加费。</w:t>
      </w:r>
    </w:p>
    <w:p w14:paraId="21C30229">
      <w:pPr>
        <w:pStyle w:val="6"/>
        <w:spacing w:line="360" w:lineRule="auto"/>
        <w:ind w:firstLine="480"/>
        <w:rPr>
          <w:rFonts w:ascii="宋体" w:hAnsi="宋体"/>
          <w:bCs/>
          <w:color w:val="auto"/>
          <w:sz w:val="24"/>
          <w:highlight w:val="none"/>
        </w:rPr>
      </w:pPr>
      <w:r>
        <w:rPr>
          <w:rFonts w:hint="eastAsia" w:ascii="宋体" w:hAnsi="宋体"/>
          <w:bCs/>
          <w:color w:val="auto"/>
          <w:sz w:val="24"/>
          <w:highlight w:val="none"/>
        </w:rPr>
        <w:t>（1）常温药品（不限剂型）2种</w:t>
      </w:r>
    </w:p>
    <w:p w14:paraId="5037AF66">
      <w:pPr>
        <w:pStyle w:val="6"/>
        <w:spacing w:line="360" w:lineRule="auto"/>
        <w:ind w:firstLine="480"/>
        <w:rPr>
          <w:rFonts w:ascii="宋体" w:hAnsi="宋体"/>
          <w:bCs/>
          <w:color w:val="auto"/>
          <w:sz w:val="24"/>
          <w:highlight w:val="none"/>
        </w:rPr>
      </w:pPr>
      <w:r>
        <w:rPr>
          <w:rFonts w:hint="eastAsia" w:ascii="宋体" w:hAnsi="宋体"/>
          <w:bCs/>
          <w:color w:val="auto"/>
          <w:sz w:val="24"/>
          <w:highlight w:val="none"/>
        </w:rPr>
        <w:t>（2）阴凉非注射剂2种</w:t>
      </w:r>
    </w:p>
    <w:p w14:paraId="765411EC">
      <w:pPr>
        <w:pStyle w:val="6"/>
        <w:spacing w:line="360" w:lineRule="auto"/>
        <w:ind w:firstLine="480"/>
        <w:rPr>
          <w:rFonts w:ascii="宋体" w:hAnsi="宋体"/>
          <w:bCs/>
          <w:color w:val="auto"/>
          <w:sz w:val="24"/>
          <w:highlight w:val="none"/>
        </w:rPr>
      </w:pPr>
      <w:r>
        <w:rPr>
          <w:rFonts w:hint="eastAsia" w:ascii="宋体" w:hAnsi="宋体"/>
          <w:bCs/>
          <w:color w:val="auto"/>
          <w:sz w:val="24"/>
          <w:highlight w:val="none"/>
        </w:rPr>
        <w:t>（3）常温药品（不限剂型）1种+阴凉非注射剂1种</w:t>
      </w:r>
    </w:p>
    <w:p w14:paraId="26A903CD">
      <w:pPr>
        <w:pStyle w:val="6"/>
        <w:spacing w:line="360" w:lineRule="auto"/>
        <w:ind w:firstLine="480"/>
        <w:rPr>
          <w:rFonts w:ascii="宋体" w:hAnsi="宋体"/>
          <w:bCs/>
          <w:color w:val="auto"/>
          <w:sz w:val="24"/>
          <w:highlight w:val="none"/>
        </w:rPr>
      </w:pPr>
      <w:r>
        <w:rPr>
          <w:rFonts w:hint="eastAsia" w:ascii="宋体" w:hAnsi="宋体"/>
          <w:bCs/>
          <w:color w:val="auto"/>
          <w:sz w:val="24"/>
          <w:highlight w:val="none"/>
        </w:rPr>
        <w:t>（4）阴凉注射剂1种</w:t>
      </w:r>
    </w:p>
    <w:p w14:paraId="02296ED3">
      <w:pPr>
        <w:pStyle w:val="6"/>
        <w:spacing w:line="360" w:lineRule="auto"/>
        <w:ind w:firstLine="480"/>
        <w:rPr>
          <w:rFonts w:ascii="宋体" w:hAnsi="宋体"/>
          <w:bCs/>
          <w:color w:val="auto"/>
          <w:sz w:val="24"/>
          <w:highlight w:val="none"/>
        </w:rPr>
      </w:pPr>
      <w:r>
        <w:rPr>
          <w:rFonts w:hint="eastAsia" w:ascii="宋体" w:hAnsi="宋体"/>
          <w:bCs/>
          <w:color w:val="auto"/>
          <w:sz w:val="24"/>
          <w:highlight w:val="none"/>
        </w:rPr>
        <w:t>（5）冷藏药品（不限剂型）1种</w:t>
      </w:r>
    </w:p>
    <w:p w14:paraId="72346F7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2.附加管理费收费标准</w:t>
      </w:r>
    </w:p>
    <w:p w14:paraId="267DD4A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附加管理费=药品相关附加费+空间附加费+系统操作附加费</w:t>
      </w:r>
    </w:p>
    <w:p w14:paraId="7AAA1708">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药品相关附加费=附加药品A对应费用*贮存月数+附加药品B对应费用*贮存月数</w:t>
      </w:r>
      <w:r>
        <w:rPr>
          <w:rFonts w:ascii="宋体" w:hAnsi="宋体"/>
          <w:bCs/>
          <w:color w:val="auto"/>
          <w:sz w:val="24"/>
          <w:highlight w:val="none"/>
        </w:rPr>
        <w:t>…</w:t>
      </w:r>
    </w:p>
    <w:p w14:paraId="6F7A4E1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（详见表一，费用按照剂型和条件求和计算）</w:t>
      </w:r>
    </w:p>
    <w:p w14:paraId="1DA91718">
      <w:pPr>
        <w:jc w:val="center"/>
        <w:rPr>
          <w:rFonts w:ascii="宋体" w:hAnsi="宋体"/>
          <w:bCs/>
          <w:color w:val="auto"/>
          <w:sz w:val="24"/>
          <w:highlight w:val="none"/>
        </w:rPr>
      </w:pPr>
      <w:r>
        <w:rPr>
          <w:rFonts w:hint="eastAsia" w:ascii="宋体" w:hAnsi="宋体"/>
          <w:bCs/>
          <w:color w:val="auto"/>
          <w:sz w:val="24"/>
          <w:highlight w:val="none"/>
        </w:rPr>
        <w:t xml:space="preserve"> 表一</w:t>
      </w:r>
    </w:p>
    <w:tbl>
      <w:tblPr>
        <w:tblStyle w:val="4"/>
        <w:tblpPr w:leftFromText="180" w:rightFromText="180" w:vertAnchor="text" w:horzAnchor="page" w:tblpX="1672" w:tblpY="142"/>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3142"/>
        <w:gridCol w:w="2790"/>
      </w:tblGrid>
      <w:tr w14:paraId="27F9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78" w:type="dxa"/>
            <w:tcBorders>
              <w:tl2br w:val="single" w:color="auto" w:sz="4" w:space="0"/>
            </w:tcBorders>
          </w:tcPr>
          <w:p w14:paraId="5D87D405">
            <w:pPr>
              <w:tabs>
                <w:tab w:val="center" w:pos="4153"/>
                <w:tab w:val="right" w:pos="8306"/>
              </w:tabs>
              <w:snapToGrid w:val="0"/>
              <w:ind w:firstLine="1680" w:firstLineChars="700"/>
              <w:rPr>
                <w:rFonts w:ascii="宋体" w:hAnsi="宋体"/>
                <w:bCs/>
                <w:color w:val="auto"/>
                <w:kern w:val="0"/>
                <w:sz w:val="24"/>
                <w:highlight w:val="none"/>
              </w:rPr>
            </w:pPr>
          </w:p>
          <w:p w14:paraId="0E5204E3">
            <w:pPr>
              <w:tabs>
                <w:tab w:val="center" w:pos="4153"/>
                <w:tab w:val="right" w:pos="8306"/>
              </w:tabs>
              <w:snapToGrid w:val="0"/>
              <w:ind w:firstLine="1200" w:firstLineChars="500"/>
              <w:rPr>
                <w:rFonts w:ascii="宋体" w:hAnsi="宋体"/>
                <w:bCs/>
                <w:color w:val="auto"/>
                <w:kern w:val="0"/>
                <w:sz w:val="24"/>
                <w:highlight w:val="none"/>
              </w:rPr>
            </w:pPr>
            <w:r>
              <w:rPr>
                <w:rFonts w:hint="eastAsia" w:ascii="宋体" w:hAnsi="宋体"/>
                <w:bCs/>
                <w:color w:val="auto"/>
                <w:kern w:val="0"/>
                <w:sz w:val="24"/>
                <w:highlight w:val="none"/>
              </w:rPr>
              <w:t>药品剂型</w:t>
            </w:r>
          </w:p>
          <w:p w14:paraId="3E9C8E53">
            <w:pPr>
              <w:tabs>
                <w:tab w:val="center" w:pos="4153"/>
                <w:tab w:val="right" w:pos="8306"/>
              </w:tabs>
              <w:snapToGrid w:val="0"/>
              <w:rPr>
                <w:rFonts w:ascii="宋体" w:hAnsi="宋体"/>
                <w:bCs/>
                <w:color w:val="auto"/>
                <w:kern w:val="0"/>
                <w:sz w:val="24"/>
                <w:highlight w:val="none"/>
              </w:rPr>
            </w:pPr>
          </w:p>
          <w:p w14:paraId="21F7DA70">
            <w:pPr>
              <w:tabs>
                <w:tab w:val="center" w:pos="4153"/>
                <w:tab w:val="right" w:pos="8306"/>
              </w:tabs>
              <w:snapToGrid w:val="0"/>
              <w:rPr>
                <w:rFonts w:ascii="宋体" w:hAnsi="宋体"/>
                <w:bCs/>
                <w:color w:val="auto"/>
                <w:kern w:val="0"/>
                <w:sz w:val="24"/>
                <w:highlight w:val="none"/>
              </w:rPr>
            </w:pPr>
            <w:r>
              <w:rPr>
                <w:rFonts w:hint="eastAsia" w:ascii="宋体" w:hAnsi="宋体"/>
                <w:bCs/>
                <w:color w:val="auto"/>
                <w:kern w:val="0"/>
                <w:sz w:val="24"/>
                <w:highlight w:val="none"/>
              </w:rPr>
              <w:t>本中心贮存条件</w:t>
            </w:r>
          </w:p>
        </w:tc>
        <w:tc>
          <w:tcPr>
            <w:tcW w:w="3142" w:type="dxa"/>
          </w:tcPr>
          <w:p w14:paraId="68CAF1E9">
            <w:pPr>
              <w:tabs>
                <w:tab w:val="center" w:pos="4153"/>
                <w:tab w:val="right" w:pos="8306"/>
              </w:tabs>
              <w:snapToGrid w:val="0"/>
              <w:jc w:val="center"/>
              <w:rPr>
                <w:rFonts w:ascii="宋体" w:hAnsi="宋体"/>
                <w:bCs/>
                <w:color w:val="auto"/>
                <w:kern w:val="0"/>
                <w:sz w:val="24"/>
                <w:highlight w:val="none"/>
              </w:rPr>
            </w:pPr>
          </w:p>
          <w:p w14:paraId="1D2487C1">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非注射剂</w:t>
            </w:r>
          </w:p>
        </w:tc>
        <w:tc>
          <w:tcPr>
            <w:tcW w:w="2790" w:type="dxa"/>
          </w:tcPr>
          <w:p w14:paraId="67B271E4">
            <w:pPr>
              <w:tabs>
                <w:tab w:val="center" w:pos="4153"/>
                <w:tab w:val="right" w:pos="8306"/>
              </w:tabs>
              <w:snapToGrid w:val="0"/>
              <w:jc w:val="center"/>
              <w:rPr>
                <w:rFonts w:ascii="宋体" w:hAnsi="宋体"/>
                <w:bCs/>
                <w:color w:val="auto"/>
                <w:kern w:val="0"/>
                <w:sz w:val="24"/>
                <w:highlight w:val="none"/>
              </w:rPr>
            </w:pPr>
          </w:p>
          <w:p w14:paraId="072460A9">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注射剂</w:t>
            </w:r>
          </w:p>
        </w:tc>
      </w:tr>
      <w:tr w14:paraId="43E4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14:paraId="7C95C640">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常温</w:t>
            </w:r>
          </w:p>
        </w:tc>
        <w:tc>
          <w:tcPr>
            <w:tcW w:w="3142" w:type="dxa"/>
          </w:tcPr>
          <w:p w14:paraId="344AF174">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50元/月</w:t>
            </w:r>
          </w:p>
        </w:tc>
        <w:tc>
          <w:tcPr>
            <w:tcW w:w="2790" w:type="dxa"/>
          </w:tcPr>
          <w:p w14:paraId="38E7FA57">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60元/月</w:t>
            </w:r>
          </w:p>
        </w:tc>
      </w:tr>
      <w:tr w14:paraId="397F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14:paraId="4A7AA4BE">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阴凉</w:t>
            </w:r>
          </w:p>
        </w:tc>
        <w:tc>
          <w:tcPr>
            <w:tcW w:w="3142" w:type="dxa"/>
          </w:tcPr>
          <w:p w14:paraId="43A6F0EB">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60元/月</w:t>
            </w:r>
          </w:p>
        </w:tc>
        <w:tc>
          <w:tcPr>
            <w:tcW w:w="2790" w:type="dxa"/>
          </w:tcPr>
          <w:p w14:paraId="16D64842">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80元/月</w:t>
            </w:r>
          </w:p>
        </w:tc>
      </w:tr>
      <w:tr w14:paraId="17E8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14:paraId="6C850E79">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冷藏</w:t>
            </w:r>
          </w:p>
        </w:tc>
        <w:tc>
          <w:tcPr>
            <w:tcW w:w="3142" w:type="dxa"/>
          </w:tcPr>
          <w:p w14:paraId="4F9CB074">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80元/月</w:t>
            </w:r>
          </w:p>
        </w:tc>
        <w:tc>
          <w:tcPr>
            <w:tcW w:w="2790" w:type="dxa"/>
          </w:tcPr>
          <w:p w14:paraId="65EF60AF">
            <w:pPr>
              <w:tabs>
                <w:tab w:val="center" w:pos="4153"/>
                <w:tab w:val="right" w:pos="8306"/>
              </w:tabs>
              <w:snapToGrid w:val="0"/>
              <w:jc w:val="center"/>
              <w:rPr>
                <w:rFonts w:ascii="宋体" w:hAnsi="宋体"/>
                <w:bCs/>
                <w:color w:val="auto"/>
                <w:kern w:val="0"/>
                <w:sz w:val="24"/>
                <w:highlight w:val="none"/>
              </w:rPr>
            </w:pPr>
            <w:r>
              <w:rPr>
                <w:rFonts w:hint="eastAsia" w:ascii="宋体" w:hAnsi="宋体"/>
                <w:bCs/>
                <w:color w:val="auto"/>
                <w:kern w:val="0"/>
                <w:sz w:val="24"/>
                <w:highlight w:val="none"/>
              </w:rPr>
              <w:t>100元/月</w:t>
            </w:r>
          </w:p>
        </w:tc>
      </w:tr>
    </w:tbl>
    <w:p w14:paraId="4C4E4FB4">
      <w:pPr>
        <w:spacing w:line="360" w:lineRule="auto"/>
        <w:ind w:firstLine="480" w:firstLineChars="200"/>
        <w:rPr>
          <w:rFonts w:ascii="宋体" w:hAnsi="宋体"/>
          <w:bCs/>
          <w:color w:val="auto"/>
          <w:sz w:val="24"/>
          <w:highlight w:val="none"/>
        </w:rPr>
      </w:pPr>
    </w:p>
    <w:p w14:paraId="2FD0F226">
      <w:pPr>
        <w:spacing w:line="360" w:lineRule="auto"/>
        <w:ind w:firstLine="480" w:firstLineChars="200"/>
        <w:rPr>
          <w:rFonts w:ascii="宋体" w:hAnsi="宋体"/>
          <w:bCs/>
          <w:color w:val="auto"/>
          <w:sz w:val="24"/>
          <w:highlight w:val="none"/>
        </w:rPr>
      </w:pPr>
    </w:p>
    <w:p w14:paraId="26DB288C">
      <w:pPr>
        <w:spacing w:line="360" w:lineRule="auto"/>
        <w:ind w:firstLine="480" w:firstLineChars="200"/>
        <w:rPr>
          <w:rFonts w:ascii="宋体" w:hAnsi="宋体"/>
          <w:bCs/>
          <w:color w:val="auto"/>
          <w:sz w:val="24"/>
          <w:highlight w:val="none"/>
        </w:rPr>
      </w:pPr>
    </w:p>
    <w:p w14:paraId="36C81819">
      <w:pPr>
        <w:spacing w:line="360" w:lineRule="auto"/>
        <w:ind w:firstLine="480" w:firstLineChars="200"/>
        <w:rPr>
          <w:rFonts w:ascii="宋体" w:hAnsi="宋体"/>
          <w:bCs/>
          <w:color w:val="auto"/>
          <w:sz w:val="24"/>
          <w:highlight w:val="none"/>
        </w:rPr>
      </w:pPr>
    </w:p>
    <w:p w14:paraId="168C955C">
      <w:pPr>
        <w:spacing w:line="360" w:lineRule="auto"/>
        <w:ind w:firstLine="480" w:firstLineChars="200"/>
        <w:rPr>
          <w:rFonts w:ascii="宋体" w:hAnsi="宋体"/>
          <w:bCs/>
          <w:color w:val="auto"/>
          <w:sz w:val="24"/>
          <w:highlight w:val="none"/>
        </w:rPr>
      </w:pPr>
    </w:p>
    <w:p w14:paraId="74B4D7C8">
      <w:pPr>
        <w:spacing w:line="360" w:lineRule="auto"/>
        <w:ind w:firstLine="480" w:firstLineChars="200"/>
        <w:rPr>
          <w:rFonts w:ascii="宋体" w:hAnsi="宋体"/>
          <w:bCs/>
          <w:color w:val="auto"/>
          <w:sz w:val="24"/>
          <w:highlight w:val="none"/>
        </w:rPr>
      </w:pPr>
    </w:p>
    <w:p w14:paraId="60355CA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空间附加费=额外需求的空间数（除去基础药品的免费空间外）*50元*贮存月数；</w:t>
      </w:r>
    </w:p>
    <w:p w14:paraId="64D7F4FA">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系统操作附加费=50元*贮存月数（该费用指药房药品管理员需要通过申办方系统进行药物接收、发放、回收等相关操作，按项目收费，与药品数无关）</w:t>
      </w:r>
    </w:p>
    <w:p w14:paraId="13D09A0D">
      <w:pPr>
        <w:spacing w:line="360" w:lineRule="auto"/>
        <w:ind w:firstLine="480" w:firstLineChars="200"/>
        <w:rPr>
          <w:rFonts w:ascii="宋体" w:hAnsi="宋体"/>
          <w:color w:val="auto"/>
          <w:sz w:val="24"/>
          <w:highlight w:val="none"/>
        </w:rPr>
      </w:pPr>
    </w:p>
    <w:p w14:paraId="1704EE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备注：</w:t>
      </w:r>
    </w:p>
    <w:p w14:paraId="24B51556">
      <w:pPr>
        <w:pStyle w:val="6"/>
        <w:spacing w:line="360" w:lineRule="auto"/>
        <w:ind w:left="0" w:firstLine="480" w:firstLineChars="200"/>
        <w:rPr>
          <w:rFonts w:ascii="宋体" w:hAnsi="宋体"/>
          <w:bCs/>
          <w:color w:val="auto"/>
          <w:sz w:val="24"/>
          <w:highlight w:val="none"/>
        </w:rPr>
      </w:pPr>
      <w:r>
        <w:rPr>
          <w:rFonts w:ascii="宋体" w:hAnsi="宋体" w:cs="Calibri"/>
          <w:bCs/>
          <w:color w:val="auto"/>
          <w:sz w:val="24"/>
          <w:highlight w:val="none"/>
        </w:rPr>
        <w:t>①</w:t>
      </w:r>
      <w:r>
        <w:rPr>
          <w:rFonts w:hint="eastAsia" w:ascii="宋体" w:hAnsi="宋体"/>
          <w:bCs/>
          <w:color w:val="auto"/>
          <w:sz w:val="24"/>
          <w:highlight w:val="none"/>
        </w:rPr>
        <w:t>本中心临床试验药房温度：常温区：10-30℃，阴凉区：8-20℃，冷藏区：2-8℃</w:t>
      </w:r>
    </w:p>
    <w:p w14:paraId="184F8186">
      <w:pPr>
        <w:spacing w:line="360" w:lineRule="auto"/>
        <w:ind w:firstLine="480" w:firstLineChars="200"/>
        <w:rPr>
          <w:rFonts w:ascii="宋体" w:hAnsi="宋体"/>
          <w:bCs/>
          <w:color w:val="auto"/>
          <w:sz w:val="24"/>
          <w:highlight w:val="none"/>
        </w:rPr>
      </w:pPr>
      <w:r>
        <w:rPr>
          <w:rFonts w:ascii="宋体" w:hAnsi="宋体" w:cs="Calibri"/>
          <w:bCs/>
          <w:color w:val="auto"/>
          <w:sz w:val="24"/>
          <w:highlight w:val="none"/>
        </w:rPr>
        <w:t>②</w:t>
      </w:r>
      <w:r>
        <w:rPr>
          <w:rFonts w:hint="eastAsia" w:ascii="宋体" w:hAnsi="宋体"/>
          <w:bCs/>
          <w:color w:val="auto"/>
          <w:sz w:val="24"/>
          <w:highlight w:val="none"/>
        </w:rPr>
        <w:t>基础管理费：</w:t>
      </w:r>
      <w:r>
        <w:rPr>
          <w:rFonts w:ascii="宋体" w:hAnsi="宋体"/>
          <w:bCs/>
          <w:color w:val="auto"/>
          <w:sz w:val="24"/>
          <w:highlight w:val="none"/>
        </w:rPr>
        <w:t>a.</w:t>
      </w:r>
      <w:r>
        <w:rPr>
          <w:rFonts w:hint="eastAsia" w:ascii="宋体" w:hAnsi="宋体"/>
          <w:bCs/>
          <w:color w:val="auto"/>
          <w:sz w:val="24"/>
          <w:highlight w:val="none"/>
        </w:rPr>
        <w:t>尾款结算时，贮存时间不足半年的试验，按照2</w:t>
      </w:r>
      <w:r>
        <w:rPr>
          <w:rFonts w:ascii="宋体" w:hAnsi="宋体"/>
          <w:bCs/>
          <w:color w:val="auto"/>
          <w:sz w:val="24"/>
          <w:highlight w:val="none"/>
        </w:rPr>
        <w:t>500</w:t>
      </w:r>
      <w:r>
        <w:rPr>
          <w:rFonts w:hint="eastAsia" w:ascii="宋体" w:hAnsi="宋体"/>
          <w:bCs/>
          <w:color w:val="auto"/>
          <w:sz w:val="24"/>
          <w:highlight w:val="none"/>
        </w:rPr>
        <w:t>元收费。</w:t>
      </w:r>
      <w:r>
        <w:rPr>
          <w:rFonts w:ascii="宋体" w:hAnsi="宋体"/>
          <w:bCs/>
          <w:color w:val="auto"/>
          <w:sz w:val="24"/>
          <w:highlight w:val="none"/>
        </w:rPr>
        <w:t>b.</w:t>
      </w:r>
      <w:r>
        <w:rPr>
          <w:rFonts w:hint="eastAsia" w:ascii="宋体" w:hAnsi="宋体"/>
          <w:bCs/>
          <w:color w:val="auto"/>
          <w:sz w:val="24"/>
          <w:highlight w:val="none"/>
        </w:rPr>
        <w:t>贮存时长超过半年的，每6个月2500元。保存时间月数为6的整数倍外的月数，按5</w:t>
      </w:r>
      <w:r>
        <w:rPr>
          <w:rFonts w:ascii="宋体" w:hAnsi="宋体"/>
          <w:bCs/>
          <w:color w:val="auto"/>
          <w:sz w:val="24"/>
          <w:highlight w:val="none"/>
        </w:rPr>
        <w:t>00</w:t>
      </w:r>
      <w:r>
        <w:rPr>
          <w:rFonts w:hint="eastAsia" w:ascii="宋体" w:hAnsi="宋体"/>
          <w:bCs/>
          <w:color w:val="auto"/>
          <w:sz w:val="24"/>
          <w:highlight w:val="none"/>
        </w:rPr>
        <w:t>元/月收费。</w:t>
      </w:r>
    </w:p>
    <w:p w14:paraId="6A599197">
      <w:pPr>
        <w:spacing w:line="360" w:lineRule="auto"/>
        <w:ind w:firstLine="480" w:firstLineChars="200"/>
        <w:rPr>
          <w:rFonts w:ascii="宋体" w:hAnsi="宋体"/>
          <w:bCs/>
          <w:color w:val="auto"/>
          <w:sz w:val="24"/>
          <w:highlight w:val="none"/>
        </w:rPr>
      </w:pPr>
      <w:r>
        <w:rPr>
          <w:rFonts w:ascii="宋体" w:hAnsi="宋体" w:cs="Calibri"/>
          <w:bCs/>
          <w:color w:val="auto"/>
          <w:sz w:val="24"/>
          <w:highlight w:val="none"/>
        </w:rPr>
        <w:t>③</w:t>
      </w:r>
      <w:r>
        <w:rPr>
          <w:rFonts w:hint="eastAsia" w:ascii="宋体" w:hAnsi="宋体"/>
          <w:bCs/>
          <w:color w:val="auto"/>
          <w:sz w:val="24"/>
          <w:highlight w:val="none"/>
        </w:rPr>
        <w:t>实际贮存时间按月计算的费用，不足一个月按一个月的费用进行计算。</w:t>
      </w:r>
    </w:p>
    <w:p w14:paraId="598786B8">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④临床试验药品管理费产生的税费及附加费计算方法见本合同“十一、费用预算明细及</w:t>
      </w:r>
      <w:r>
        <w:rPr>
          <w:rFonts w:ascii="宋体" w:hAnsi="宋体"/>
          <w:bCs/>
          <w:color w:val="auto"/>
          <w:sz w:val="24"/>
          <w:highlight w:val="none"/>
        </w:rPr>
        <w:t>支付方式”</w:t>
      </w:r>
      <w:r>
        <w:rPr>
          <w:rFonts w:hint="eastAsia" w:ascii="宋体" w:hAnsi="宋体"/>
          <w:bCs/>
          <w:color w:val="auto"/>
          <w:sz w:val="24"/>
          <w:highlight w:val="none"/>
        </w:rPr>
        <w:t>。</w:t>
      </w:r>
    </w:p>
    <w:p w14:paraId="6C035222">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0C221">
    <w:pPr>
      <w:pStyle w:val="2"/>
    </w:pPr>
    <w:r>
      <mc:AlternateContent>
        <mc:Choice Requires="wps">
          <w:drawing>
            <wp:anchor distT="0" distB="0" distL="114300" distR="114300" simplePos="0" relativeHeight="251659264" behindDoc="0" locked="0" layoutInCell="1" allowOverlap="1">
              <wp:simplePos x="0" y="0"/>
              <wp:positionH relativeFrom="margin">
                <wp:posOffset>2362200</wp:posOffset>
              </wp:positionH>
              <wp:positionV relativeFrom="paragraph">
                <wp:posOffset>2540</wp:posOffset>
              </wp:positionV>
              <wp:extent cx="1000125" cy="147955"/>
              <wp:effectExtent l="0" t="0" r="9525" b="444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00125" cy="147955"/>
                      </a:xfrm>
                      <a:prstGeom prst="rect">
                        <a:avLst/>
                      </a:prstGeom>
                      <a:noFill/>
                      <a:ln>
                        <a:noFill/>
                      </a:ln>
                    </wps:spPr>
                    <wps:txbx>
                      <w:txbxContent>
                        <w:p w14:paraId="7FF4D32D">
                          <w:pPr>
                            <w:pStyle w:val="2"/>
                            <w:rPr>
                              <w:rFonts w:ascii="宋体" w:hAnsi="宋体"/>
                            </w:rPr>
                          </w:pPr>
                          <w:r>
                            <w:rPr>
                              <w:rFonts w:hint="eastAsia" w:ascii="宋体" w:hAnsi="宋体"/>
                            </w:rPr>
                            <w:t xml:space="preserve">第 </w:t>
                          </w:r>
                          <w:r>
                            <w:rPr>
                              <w:rFonts w:hint="eastAsia" w:ascii="宋体" w:hAnsi="宋体"/>
                            </w:rPr>
                            <w:fldChar w:fldCharType="begin"/>
                          </w:r>
                          <w:r>
                            <w:rPr>
                              <w:rFonts w:hint="eastAsia" w:ascii="宋体" w:hAnsi="宋体"/>
                            </w:rPr>
                            <w:instrText xml:space="preserve"> PAGE  \* MERGEFORMAT </w:instrText>
                          </w:r>
                          <w:r>
                            <w:rPr>
                              <w:rFonts w:hint="eastAsia" w:ascii="宋体" w:hAnsi="宋体"/>
                            </w:rPr>
                            <w:fldChar w:fldCharType="separate"/>
                          </w:r>
                          <w:r>
                            <w:rPr>
                              <w:rFonts w:ascii="宋体" w:hAnsi="宋体"/>
                            </w:rPr>
                            <w:t>11</w:t>
                          </w:r>
                          <w:r>
                            <w:rPr>
                              <w:rFonts w:hint="eastAsia" w:ascii="宋体" w:hAnsi="宋体"/>
                            </w:rPr>
                            <w:fldChar w:fldCharType="end"/>
                          </w:r>
                          <w:r>
                            <w:rPr>
                              <w:rFonts w:hint="eastAsia" w:ascii="宋体" w:hAnsi="宋体"/>
                            </w:rPr>
                            <w:t xml:space="preserve"> 页 共 </w:t>
                          </w:r>
                          <w:r>
                            <w:fldChar w:fldCharType="begin"/>
                          </w:r>
                          <w:r>
                            <w:instrText xml:space="preserve"> NUMPAGES  \* MERGEFORMAT </w:instrText>
                          </w:r>
                          <w:r>
                            <w:fldChar w:fldCharType="separate"/>
                          </w:r>
                          <w:r>
                            <w:rPr>
                              <w:rFonts w:ascii="宋体" w:hAnsi="宋体"/>
                            </w:rPr>
                            <w:t>11</w:t>
                          </w:r>
                          <w:r>
                            <w:rPr>
                              <w:rFonts w:ascii="宋体" w:hAnsi="宋体"/>
                            </w:rPr>
                            <w:fldChar w:fldCharType="end"/>
                          </w:r>
                          <w:r>
                            <w:rPr>
                              <w:rFonts w:hint="eastAsia" w:ascii="宋体" w:hAnsi="宋体"/>
                            </w:rPr>
                            <w:t xml:space="preserve"> 页</w:t>
                          </w:r>
                        </w:p>
                      </w:txbxContent>
                    </wps:txbx>
                    <wps:bodyPr rot="0" vert="horz" wrap="square" lIns="0" tIns="0" rIns="0" bIns="0" anchor="t" anchorCtr="0" upright="1">
                      <a:spAutoFit/>
                    </wps:bodyPr>
                  </wps:wsp>
                </a:graphicData>
              </a:graphic>
            </wp:anchor>
          </w:drawing>
        </mc:Choice>
        <mc:Fallback>
          <w:pict>
            <v:shape id="Text Box 2" o:spid="_x0000_s1026" o:spt="202" type="#_x0000_t202" style="position:absolute;left:0pt;margin-left:186pt;margin-top:0.2pt;height:11.65pt;width:78.75pt;mso-position-horizontal-relative:margin;z-index:251659264;mso-width-relative:page;mso-height-relative:page;" filled="f" stroked="f" coordsize="21600,21600" o:gfxdata="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lWPJNUAAAAHAQAADwAAAAAAAAABACAAAAAiAAAAZHJzL2Rvd25yZXYueG1s&#10;UEsBAhQAFAAAAAgAh07iQMzjPB77AQAABAQAAA4AAAAAAAAAAQAgAAAAJAEAAGRycy9lMm9Eb2Mu&#10;eG1sUEsFBgAAAAAGAAYAWQEAAJEFAAAAAA==&#10;">
              <v:fill on="f" focussize="0,0"/>
              <v:stroke on="f"/>
              <v:imagedata o:title=""/>
              <o:lock v:ext="edit" aspectratio="f"/>
              <v:textbox inset="0mm,0mm,0mm,0mm" style="mso-fit-shape-to-text:t;">
                <w:txbxContent>
                  <w:p w14:paraId="7FF4D32D">
                    <w:pPr>
                      <w:pStyle w:val="2"/>
                      <w:rPr>
                        <w:rFonts w:ascii="宋体" w:hAnsi="宋体"/>
                      </w:rPr>
                    </w:pPr>
                    <w:r>
                      <w:rPr>
                        <w:rFonts w:hint="eastAsia" w:ascii="宋体" w:hAnsi="宋体"/>
                      </w:rPr>
                      <w:t xml:space="preserve">第 </w:t>
                    </w:r>
                    <w:r>
                      <w:rPr>
                        <w:rFonts w:hint="eastAsia" w:ascii="宋体" w:hAnsi="宋体"/>
                      </w:rPr>
                      <w:fldChar w:fldCharType="begin"/>
                    </w:r>
                    <w:r>
                      <w:rPr>
                        <w:rFonts w:hint="eastAsia" w:ascii="宋体" w:hAnsi="宋体"/>
                      </w:rPr>
                      <w:instrText xml:space="preserve"> PAGE  \* MERGEFORMAT </w:instrText>
                    </w:r>
                    <w:r>
                      <w:rPr>
                        <w:rFonts w:hint="eastAsia" w:ascii="宋体" w:hAnsi="宋体"/>
                      </w:rPr>
                      <w:fldChar w:fldCharType="separate"/>
                    </w:r>
                    <w:r>
                      <w:rPr>
                        <w:rFonts w:ascii="宋体" w:hAnsi="宋体"/>
                      </w:rPr>
                      <w:t>11</w:t>
                    </w:r>
                    <w:r>
                      <w:rPr>
                        <w:rFonts w:hint="eastAsia" w:ascii="宋体" w:hAnsi="宋体"/>
                      </w:rPr>
                      <w:fldChar w:fldCharType="end"/>
                    </w:r>
                    <w:r>
                      <w:rPr>
                        <w:rFonts w:hint="eastAsia" w:ascii="宋体" w:hAnsi="宋体"/>
                      </w:rPr>
                      <w:t xml:space="preserve"> 页 共 </w:t>
                    </w:r>
                    <w:r>
                      <w:fldChar w:fldCharType="begin"/>
                    </w:r>
                    <w:r>
                      <w:instrText xml:space="preserve"> NUMPAGES  \* MERGEFORMAT </w:instrText>
                    </w:r>
                    <w:r>
                      <w:fldChar w:fldCharType="separate"/>
                    </w:r>
                    <w:r>
                      <w:rPr>
                        <w:rFonts w:ascii="宋体" w:hAnsi="宋体"/>
                      </w:rPr>
                      <w:t>11</w:t>
                    </w:r>
                    <w:r>
                      <w:rPr>
                        <w:rFonts w:ascii="宋体" w:hAnsi="宋体"/>
                      </w:rPr>
                      <w:fldChar w:fldCharType="end"/>
                    </w:r>
                    <w:r>
                      <w:rPr>
                        <w:rFonts w:hint="eastAsia" w:ascii="宋体" w:hAnsi="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61029">
    <w:pPr>
      <w:pStyle w:val="3"/>
      <w:pBdr>
        <w:bottom w:val="single" w:color="auto" w:sz="4" w:space="1"/>
      </w:pBdr>
      <w:jc w:val="left"/>
    </w:pPr>
  </w:p>
  <w:p w14:paraId="4945F5D9">
    <w:pPr>
      <w:pStyle w:val="3"/>
      <w:pBdr>
        <w:bottom w:val="single" w:color="auto" w:sz="4" w:space="1"/>
      </w:pBdr>
      <w:jc w:val="left"/>
    </w:pPr>
    <w:r>
      <w:rPr>
        <w:rFonts w:hint="eastAsia"/>
      </w:rPr>
      <w:t xml:space="preserve">临床试验合同 </w:t>
    </w:r>
    <w:r>
      <w:t xml:space="preserve">                                                       SYSFYBJY-JG-SOP-015-A03-01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3753B"/>
    <w:multiLevelType w:val="singleLevel"/>
    <w:tmpl w:val="B873753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19"/>
    <w:rsid w:val="00711857"/>
    <w:rsid w:val="00DE6A64"/>
    <w:rsid w:val="00F50219"/>
    <w:rsid w:val="1FB37839"/>
    <w:rsid w:val="75932240"/>
    <w:rsid w:val="76C27398"/>
    <w:rsid w:val="7ADF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left="720"/>
      <w:contextualSpacing/>
    </w:pPr>
  </w:style>
  <w:style w:type="character" w:customStyle="1" w:styleId="7">
    <w:name w:val="页眉 字符"/>
    <w:basedOn w:val="5"/>
    <w:link w:val="3"/>
    <w:qFormat/>
    <w:uiPriority w:val="99"/>
    <w:rPr>
      <w:rFonts w:ascii="Calibri" w:hAnsi="Calibri" w:eastAsia="宋体" w:cs="宋体"/>
      <w:sz w:val="18"/>
      <w:szCs w:val="18"/>
    </w:rPr>
  </w:style>
  <w:style w:type="character" w:customStyle="1" w:styleId="8">
    <w:name w:val="页脚 字符"/>
    <w:basedOn w:val="5"/>
    <w:link w:val="2"/>
    <w:qFormat/>
    <w:uiPriority w:val="0"/>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7110</Words>
  <Characters>7567</Characters>
  <Lines>59</Lines>
  <Paragraphs>16</Paragraphs>
  <TotalTime>1</TotalTime>
  <ScaleCrop>false</ScaleCrop>
  <LinksUpToDate>false</LinksUpToDate>
  <CharactersWithSpaces>7754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2023-06-25T06:35:00Z</dcterms:created>
  <dc:creator>孙 嘉桧</dc:creator>
  <cp:lastModifiedBy>DELL</cp:lastModifiedBy>
  <dcterms:modified xsi:type="dcterms:W3CDTF">2025-03-05T04:00:31Z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eyJoZGlkIjoiOWE0MjU5ZWVkMGJlMDljYzZjZjNiYjcyY2FlOTBjNGUiLCJ1c2VySWQiOiI3MDMzNjk2OTcifQ==</vt:lpwstr>
  </property>
  <property fmtid="{D5CDD505-2E9C-101B-9397-08002B2CF9AE}" pid="3" name="KSOProductBuildVer">
    <vt:lpwstr>2052-12.1.0.20305</vt:lpwstr>
  </property>
  <property fmtid="{D5CDD505-2E9C-101B-9397-08002B2CF9AE}" pid="4" name="ICV">
    <vt:lpwstr>29B0DC844B8849ADB93ED8E3CCF2728A_12</vt:lpwstr>
  </property>
</Properties>
</file>