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Times New Roman"/>
          <w:sz w:val="32"/>
          <w:szCs w:val="32"/>
        </w:rPr>
      </w:pPr>
      <w:r>
        <w:rPr>
          <w:rFonts w:hint="eastAsia" w:ascii="宋体" w:hAnsi="宋体" w:cs="宋体"/>
          <w:b/>
          <w:bCs/>
          <w:sz w:val="44"/>
          <w:szCs w:val="44"/>
        </w:rPr>
        <w:t>三亚市202</w:t>
      </w:r>
      <w:r>
        <w:rPr>
          <w:rFonts w:hint="eastAsia" w:ascii="宋体" w:hAnsi="宋体" w:cs="宋体"/>
          <w:b/>
          <w:bCs/>
          <w:sz w:val="44"/>
          <w:szCs w:val="44"/>
          <w:lang w:val="en-US" w:eastAsia="zh-CN"/>
        </w:rPr>
        <w:t>3</w:t>
      </w:r>
      <w:r>
        <w:rPr>
          <w:rFonts w:hint="eastAsia" w:ascii="宋体" w:hAnsi="宋体" w:cs="宋体"/>
          <w:b/>
          <w:bCs/>
          <w:sz w:val="44"/>
          <w:szCs w:val="44"/>
        </w:rPr>
        <w:t>年卫生健康发展专项资金项目</w:t>
      </w:r>
      <w:r>
        <w:rPr>
          <w:rFonts w:hint="eastAsia" w:ascii="宋体" w:hAnsi="宋体" w:cs="宋体"/>
          <w:b/>
          <w:bCs/>
          <w:sz w:val="44"/>
          <w:szCs w:val="44"/>
          <w:lang w:val="en-US" w:eastAsia="zh-CN"/>
        </w:rPr>
        <w:t>绩效</w:t>
      </w:r>
      <w:r>
        <w:rPr>
          <w:rFonts w:hint="eastAsia" w:ascii="宋体" w:hAnsi="宋体" w:cs="宋体"/>
          <w:b/>
          <w:bCs/>
          <w:sz w:val="44"/>
          <w:szCs w:val="44"/>
        </w:rPr>
        <w:t>自评报告</w:t>
      </w:r>
    </w:p>
    <w:p>
      <w:pPr>
        <w:spacing w:line="560" w:lineRule="exact"/>
        <w:ind w:firstLine="640" w:firstLineChars="200"/>
        <w:outlineLvl w:val="0"/>
        <w:rPr>
          <w:rFonts w:ascii="仿宋" w:hAnsi="仿宋" w:eastAsia="仿宋" w:cs="Times New Roman"/>
          <w:sz w:val="32"/>
          <w:szCs w:val="32"/>
        </w:rPr>
      </w:pPr>
      <w:r>
        <w:rPr>
          <w:rFonts w:hint="eastAsia" w:ascii="仿宋_GB2312" w:hAnsi="仿宋_GB2312" w:eastAsia="仿宋_GB2312" w:cs="仿宋_GB2312"/>
          <w:color w:val="000000"/>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1.项目的实施依据：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年我市妇幼卫生重点民生项目工作自开展以来，我市常住的</w:t>
      </w:r>
      <w:r>
        <w:rPr>
          <w:rFonts w:hint="eastAsia" w:ascii="仿宋_GB2312" w:hAnsi="仿宋_GB2312" w:eastAsia="仿宋_GB2312" w:cs="仿宋_GB2312"/>
          <w:sz w:val="32"/>
          <w:szCs w:val="32"/>
          <w:lang w:val="en-US" w:eastAsia="zh-CN"/>
        </w:rPr>
        <w:t>广大</w:t>
      </w:r>
      <w:r>
        <w:rPr>
          <w:rFonts w:hint="eastAsia" w:ascii="仿宋_GB2312" w:hAnsi="仿宋_GB2312" w:eastAsia="仿宋_GB2312" w:cs="仿宋_GB2312"/>
          <w:sz w:val="32"/>
          <w:szCs w:val="32"/>
        </w:rPr>
        <w:t>妇女儿童</w:t>
      </w:r>
      <w:r>
        <w:rPr>
          <w:rFonts w:hint="eastAsia" w:ascii="仿宋_GB2312" w:hAnsi="仿宋_GB2312" w:eastAsia="仿宋_GB2312" w:cs="仿宋_GB2312"/>
          <w:sz w:val="32"/>
          <w:szCs w:val="32"/>
          <w:lang w:val="en-US" w:eastAsia="zh-CN"/>
        </w:rPr>
        <w:t>基本</w:t>
      </w:r>
      <w:r>
        <w:rPr>
          <w:rFonts w:hint="eastAsia" w:ascii="仿宋_GB2312" w:hAnsi="仿宋_GB2312" w:eastAsia="仿宋_GB2312" w:cs="仿宋_GB2312"/>
          <w:sz w:val="32"/>
          <w:szCs w:val="32"/>
        </w:rPr>
        <w:t>享受到市委市政惠民利民的民生工程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分别为新生儿遗传代谢病筛查、新生儿听力筛查、0-14岁儿童先天性心脏病免费筛查和诊治、0-5岁儿童早期发展与发育行为障碍的识别和诊治、14岁以下儿童哮喘免费检查和确诊、孕期地贫筛诊项目及产前诊断和地贫、血液病筛查能力建设和防控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孕前优生健康检查项目、增补叶酸预防神经管缺陷项目、适龄女性“两癌”筛查项目、免费产前筛查项目、孕期胎儿先天性心脏病筛诊项目等</w:t>
      </w:r>
      <w:r>
        <w:rPr>
          <w:rFonts w:hint="eastAsia" w:ascii="仿宋_GB2312" w:hAnsi="仿宋_GB2312" w:eastAsia="仿宋_GB2312" w:cs="仿宋_GB2312"/>
          <w:sz w:val="32"/>
          <w:szCs w:val="32"/>
        </w:rPr>
        <w:t>。</w:t>
      </w:r>
    </w:p>
    <w:p>
      <w:pPr>
        <w:spacing w:line="560" w:lineRule="exact"/>
        <w:ind w:firstLine="630"/>
        <w:jc w:val="left"/>
        <w:textAlignment w:val="center"/>
        <w:rPr>
          <w:rFonts w:ascii="仿宋_GB2312" w:hAnsi="仿宋_GB2312" w:eastAsia="仿宋_GB2312" w:cs="仿宋_GB2312"/>
          <w:color w:val="FF0000"/>
          <w:sz w:val="32"/>
          <w:szCs w:val="32"/>
        </w:rPr>
      </w:pPr>
      <w:r>
        <w:rPr>
          <w:rFonts w:hint="eastAsia" w:ascii="仿宋_GB2312" w:hAnsi="仿宋_GB2312" w:eastAsia="仿宋_GB2312" w:cs="仿宋_GB2312"/>
          <w:color w:val="000000"/>
          <w:sz w:val="32"/>
          <w:szCs w:val="32"/>
        </w:rPr>
        <w:t>2.项目预算依据：</w:t>
      </w:r>
      <w:r>
        <w:rPr>
          <w:rFonts w:hint="eastAsia" w:ascii="仿宋_GB2312" w:hAnsi="仿宋_GB2312" w:eastAsia="仿宋_GB2312" w:cs="仿宋_GB2312"/>
          <w:sz w:val="32"/>
          <w:szCs w:val="32"/>
        </w:rPr>
        <w:t>结合我市工作实际，按我市常住的妇女、儿童人数、全市各级各类活产数及各个项目的发病率进行预算（详见各个项目方案费用明细表）。</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二、项目</w:t>
      </w:r>
      <w:r>
        <w:rPr>
          <w:rFonts w:hint="eastAsia" w:ascii="仿宋_GB2312" w:hAnsi="仿宋_GB2312" w:eastAsia="仿宋_GB2312" w:cs="仿宋_GB2312"/>
          <w:color w:val="000000"/>
          <w:sz w:val="32"/>
          <w:szCs w:val="32"/>
          <w:lang w:val="en-US" w:eastAsia="zh-CN"/>
        </w:rPr>
        <w:t>执行</w:t>
      </w:r>
      <w:r>
        <w:rPr>
          <w:rFonts w:hint="eastAsia" w:ascii="仿宋_GB2312" w:hAnsi="仿宋_GB2312" w:eastAsia="仿宋_GB2312" w:cs="仿宋_GB2312"/>
          <w:color w:val="000000"/>
          <w:sz w:val="32"/>
          <w:szCs w:val="32"/>
        </w:rPr>
        <w:t>情况</w:t>
      </w:r>
    </w:p>
    <w:p>
      <w:pPr>
        <w:keepNext w:val="0"/>
        <w:keepLines w:val="0"/>
        <w:widowControl w:val="0"/>
        <w:suppressLineNumbers w:val="0"/>
        <w:spacing w:before="0" w:beforeAutospacing="0" w:after="0" w:afterAutospacing="0" w:line="578" w:lineRule="exact"/>
        <w:ind w:left="0" w:right="0" w:firstLine="640" w:firstLineChars="200"/>
        <w:jc w:val="both"/>
        <w:rPr>
          <w:rFonts w:hint="default" w:ascii="仿宋_GB2312" w:hAnsi="仿宋_GB2312" w:eastAsia="仿宋_GB2312" w:cs="仿宋_GB2312"/>
          <w:bCs/>
          <w:color w:val="000000"/>
          <w:kern w:val="0"/>
          <w:sz w:val="32"/>
          <w:szCs w:val="32"/>
          <w:highlight w:val="yellow"/>
          <w:lang w:val="en-US" w:eastAsia="zh-CN"/>
        </w:rPr>
      </w:pPr>
      <w:r>
        <w:rPr>
          <w:rFonts w:hint="eastAsia" w:ascii="仿宋_GB2312" w:hAnsi="仿宋_GB2312" w:eastAsia="仿宋_GB2312" w:cs="仿宋_GB2312"/>
          <w:bCs/>
          <w:color w:val="000000"/>
          <w:sz w:val="32"/>
          <w:szCs w:val="32"/>
          <w:lang w:val="en-US" w:eastAsia="zh-CN"/>
        </w:rPr>
        <w:t>截止至12月31日：一是0-14岁儿童先天性心脏病免费筛查和诊疗项目：共为11786名新生儿进行先</w:t>
      </w:r>
      <w:bookmarkStart w:id="0" w:name="_GoBack"/>
      <w:bookmarkEnd w:id="0"/>
      <w:r>
        <w:rPr>
          <w:rFonts w:hint="eastAsia" w:ascii="仿宋_GB2312" w:hAnsi="仿宋_GB2312" w:eastAsia="仿宋_GB2312" w:cs="仿宋_GB2312"/>
          <w:bCs/>
          <w:color w:val="000000"/>
          <w:sz w:val="32"/>
          <w:szCs w:val="32"/>
          <w:lang w:val="en-US" w:eastAsia="zh-CN"/>
        </w:rPr>
        <w:t>天性心脏病筛查,筛查率为99.57%；初筛查出阳性儿童183人，已为其中180名阳性儿童进行免费心脏彩超检查，初筛阳性心脏彩超检查率为98.36%；共对48名先心病患儿进行50台次手术，目前48名儿童已康复出院。二是新生儿遗传代谢性疾病筛查项目：累计为11743名新生儿开展串联质谱筛查，初筛率为99.21%，初筛阳性儿共1356人，初筛阳性率为11.55%，已对其中1088名初筛阳性儿进行采血确诊，确诊为肉碱棕榈酰转移酶I缺乏症等遗传代谢病患儿共7人；为11767名新生儿进行省级三种遗传代谢性疾病初筛，初筛率为99.41%，初筛阳性儿共1364人，已对其中975名初筛阳性儿进行采血确诊，确诊为遗传代谢病患儿共317人，其中诊断为葡萄糖-6-磷酸脱氢酶缺乏症的有304人，甲状腺功能低下的有13人，确诊的患儿均提供治疗和科学喂养指导，尚未行确诊的儿童加强随访召回中。三是新生儿听力筛查与诊治项目（含耳聋基因检测）：共为11744名新生儿开展耳聋基因筛查，筛查率为99.21%，其中筛查结果阳性为329人，已由耳鼻喉科为其提供咨询指导并进行随访；为11747名新生儿进行听力筛查初筛，初筛率为99.24%，其中初筛阳性1403人，已为其中1155名婴儿行复筛，复筛不通过者有219名，并对其进行听力学诊断，诊断为听力障碍患儿共123人，其中诊断为轻度听力障碍77人，中度听力障碍26人，重度15人，极重度5人；对听障患儿提供治疗救助共14人，其中耳蜗植入2人，助听器佩戴人数12人；为我市16名听障患儿提供154人次的言语康复训练；并对2486名3岁以下听力高危因素儿进行随访管理。四是14岁以下儿童哮喘免费检测项目：共为906名疑似患儿进行初诊，确诊哮喘患儿67名。五是0-5岁儿童早期发展与发育行为障碍的识别和诊治项目：为352名可疑儿童提供免费确诊检查，共确诊行为发育障碍儿352人，为确诊患儿免费提供11977人次早期康复治疗。六是地贫、血液病筛查能力建设和防控工作项目：共为286名疑似地中海贫血患儿进行地贫基因检测，确诊1例重型地中海贫血儿童，18例中间型地中海贫血儿童，为我市常住36名重型地贫患儿提供住院输血免费治疗。七是髋关节筛查项目：已为3739名婴儿进行初筛，完成筛查任务的62.32%，复筛人数为19人。八是孕期地中海贫血筛诊项目：累计为12404对夫妻进行地中海贫血筛诊服务，完成目标任务的145.93%，为103对高风险夫妻进行产前诊断，共阻断10例确诊为中重型地贫的胎儿。九是增补叶酸预防神经管缺陷项目：完成妇女增补叶酸4012人，共发放叶酸13370瓶，完成市级下达任务指标的133.73%,叶酸服用率为98.38%，叶酸依从率为65.37%，目标人群增补叶酸知识知晓率为98.69%。十是预防艾滋病、梅毒和乙肝母婴传播项目：累计为12117名孕产妇分别提供艾滋病、梅毒和乙肝检测服务，孕产妇艾滋病、梅毒和乙肝检测率均达100%；全市住院分娩产妇中，确诊艾滋病感染产妇4人，感染艾滋病的孕产妇及所生儿童采取预防母婴传播干预措施比例为100%；确诊梅毒感染产妇83人，感染产妇治疗率为98.79%，所生儿童预防性治疗率为100%；确诊乙肝感染产妇1344人，乙肝阳性产妇所分娩婴儿1353人，共为1353名婴儿免费注射乙肝高效免疫球蛋白，乙肝高效免疫球蛋白注射率达到100%。十一是免费产前筛查项目：共为7766名三亚常住妇女提供免费NT超声检查，完成目标任务的91.36%，为9004名常住孕妇提供了免费NIPT检测，完成目标任务的105.93%，为38名NT异常孕妇和85名NIPT高风险孕妇提供免费产前诊断服务，为17例确诊怀有染色体异常胎儿的孕妇提供免费终止妊娠服务。十二是孕期胎儿先天性心脏病筛查项目：共为5000名三亚市常住孕妇提供孕期胎儿先天性心脏病筛查服务，完成目标任务的100%，筛查阳性胎儿数203人，并提供科学指导。十三是高危孕产妇专案管理项目：已对我市24542名孕妇建档，累计对24542名孕产妇进行高危风险筛查，高危风险筛查率为100%，评估为高危的孕产妇共计15656人，其中橙色高危孕产妇4173人，红色高危孕产妇17人；随访高危孕产妇15646人，随访率为99.94%。十四是贫困高危孕产妇救助项目：已为16名高危孕产妇申请救助，总救助金额223965.21元，其中省级救助金额117264.01元，市级救助金额106701.20元。十五是妇女常见病及“两癌”筛查项目：已对9126名妇女进行宫颈癌筛查，完成省目标任务的101.4％，诊断宫颈癌3例，查出癌前病变者 20例。对9111名妇女进行乳腺癌筛查，完成目标任务的101.23％，诊断乳腺癌9例。十六是免费孕前优生健康检查项目：已对1644对夫妻进行免费孕前优生检查，完成目标任务的102.75％，查出地贫高风险夫妻对象24对。十七是免费婚前医学检查项目：累计完成免费婚前医学检查3608人，完成目标任务的101.41%。十八是危重孕产妇医院监测项目：共监测危重孕产妇9011人次，发现妊娠合并症孕产妇7435人次，确诊危重孕产妇28人。十九是5岁以下儿童死亡监测项目：共对41307名5岁以下儿童进行死亡监测，其中5岁以下儿童死亡率为2.31‰，婴儿死亡率为1.92‰，新生儿死亡率为1.28‰。二十是出生缺陷医院监测与人群监测项目：分别对11251例围产儿进行医院监测，对2883名42天内婴儿进行人群监测，出生缺陷医院监测上报缺陷卡688例，出生缺陷人群监测上报缺陷106例，信息均及时录入并上报国家级监测平台。二十一是</w:t>
      </w:r>
      <w:r>
        <w:rPr>
          <w:rFonts w:hint="default" w:ascii="仿宋GB2312" w:hAnsi="仿宋GB2312" w:eastAsia="仿宋GB2312" w:cs="仿宋GB2312"/>
          <w:kern w:val="2"/>
          <w:sz w:val="32"/>
          <w:szCs w:val="32"/>
          <w:lang w:val="en-US" w:eastAsia="zh-CN" w:bidi="ar"/>
        </w:rPr>
        <w:t>孕产妇死亡</w:t>
      </w:r>
      <w:r>
        <w:rPr>
          <w:rFonts w:hint="default" w:ascii="Times New Roman" w:hAnsi="Times New Roman" w:eastAsia="仿宋GB2312" w:cs="Times New Roman"/>
          <w:kern w:val="2"/>
          <w:sz w:val="32"/>
          <w:szCs w:val="32"/>
          <w:lang w:val="en-US" w:eastAsia="zh-CN" w:bidi="ar"/>
        </w:rPr>
        <w:t>0</w:t>
      </w:r>
      <w:r>
        <w:rPr>
          <w:rFonts w:hint="default" w:ascii="仿宋GB2312" w:hAnsi="仿宋GB2312" w:eastAsia="仿宋GB2312" w:cs="仿宋GB2312"/>
          <w:kern w:val="2"/>
          <w:sz w:val="32"/>
          <w:szCs w:val="32"/>
          <w:lang w:val="en-US" w:eastAsia="zh-CN" w:bidi="ar"/>
        </w:rPr>
        <w:t>例，孕产妇死亡率为</w:t>
      </w:r>
      <w:r>
        <w:rPr>
          <w:rFonts w:hint="default" w:ascii="Times New Roman" w:hAnsi="Times New Roman" w:eastAsia="仿宋GB2312" w:cs="Times New Roman"/>
          <w:kern w:val="2"/>
          <w:sz w:val="32"/>
          <w:szCs w:val="32"/>
          <w:lang w:val="en-US" w:eastAsia="zh-CN" w:bidi="ar"/>
        </w:rPr>
        <w:t>0</w:t>
      </w:r>
      <w:r>
        <w:rPr>
          <w:rFonts w:hint="eastAsia" w:ascii="Times New Roman" w:hAnsi="Times New Roman" w:eastAsia="仿宋GB2312" w:cs="Times New Roman"/>
          <w:kern w:val="2"/>
          <w:sz w:val="32"/>
          <w:szCs w:val="32"/>
          <w:lang w:val="en-US" w:eastAsia="zh-CN" w:bidi="ar"/>
        </w:rPr>
        <w:t>。</w:t>
      </w:r>
    </w:p>
    <w:p>
      <w:pPr>
        <w:spacing w:line="560" w:lineRule="exact"/>
        <w:ind w:firstLine="640" w:firstLineChars="200"/>
        <w:outlineLvl w:val="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三、项目效益情况</w:t>
      </w:r>
    </w:p>
    <w:p>
      <w:pPr>
        <w:spacing w:line="560" w:lineRule="exact"/>
        <w:ind w:firstLine="640" w:firstLineChars="200"/>
        <w:rPr>
          <w:rFonts w:ascii="华文仿宋" w:hAnsi="华文仿宋" w:eastAsia="华文仿宋" w:cs="华文仿宋"/>
          <w:sz w:val="32"/>
          <w:szCs w:val="32"/>
        </w:rPr>
      </w:pPr>
      <w:r>
        <w:rPr>
          <w:rFonts w:hint="eastAsia" w:ascii="华文仿宋" w:hAnsi="华文仿宋" w:eastAsia="华文仿宋" w:cs="华文仿宋"/>
          <w:sz w:val="32"/>
          <w:szCs w:val="32"/>
        </w:rPr>
        <w:t>一是妇幼卫生健康发展资金专项项目是一项惠民利民的项目，它让更多群众能够对疾病早发现、早诊断、早治疗，切实保障妇女儿童健康与生命安全，提高妇女儿童生活质量。二是</w:t>
      </w:r>
      <w:r>
        <w:rPr>
          <w:rFonts w:hint="eastAsia" w:ascii="华文仿宋" w:hAnsi="华文仿宋" w:eastAsia="华文仿宋" w:cs="华文仿宋"/>
          <w:sz w:val="32"/>
          <w:szCs w:val="32"/>
          <w:lang w:val="en-US" w:eastAsia="zh-CN"/>
        </w:rPr>
        <w:t>进一步加强了我市出生缺陷防控工作，提高了我市出生人口素质。三是</w:t>
      </w:r>
      <w:r>
        <w:rPr>
          <w:rFonts w:hint="eastAsia" w:ascii="华文仿宋" w:hAnsi="华文仿宋" w:eastAsia="华文仿宋" w:cs="华文仿宋"/>
          <w:sz w:val="32"/>
          <w:szCs w:val="32"/>
        </w:rPr>
        <w:t>三亚市妇幼保健院是我市项目的管理单位，各个项目设有专人进行管理，确保各个项目有计划稳步推进。</w:t>
      </w:r>
      <w:r>
        <w:rPr>
          <w:rFonts w:hint="eastAsia" w:ascii="华文仿宋" w:hAnsi="华文仿宋" w:eastAsia="华文仿宋" w:cs="华文仿宋"/>
          <w:sz w:val="32"/>
          <w:szCs w:val="32"/>
          <w:lang w:val="en-US" w:eastAsia="zh-CN"/>
        </w:rPr>
        <w:t>四</w:t>
      </w:r>
      <w:r>
        <w:rPr>
          <w:rFonts w:hint="eastAsia" w:ascii="华文仿宋" w:hAnsi="华文仿宋" w:eastAsia="华文仿宋" w:cs="华文仿宋"/>
          <w:sz w:val="32"/>
          <w:szCs w:val="32"/>
        </w:rPr>
        <w:t>是我院利用上海国家儿童医学中心技术支持对我市常住患有先天性心脏病的0-14岁儿童，进行免费手术治疗，解决了群众看病难、看病贵的问题，避免了因病致贫因病返贫的发生，社会效益显著，人民群众非常满意。</w:t>
      </w:r>
    </w:p>
    <w:p>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四、下一步工作计划</w:t>
      </w:r>
    </w:p>
    <w:p>
      <w:pPr>
        <w:spacing w:line="560" w:lineRule="exact"/>
        <w:ind w:firstLine="640" w:firstLineChars="200"/>
        <w:rPr>
          <w:rFonts w:hint="default" w:ascii="华文仿宋" w:hAnsi="华文仿宋" w:eastAsia="华文仿宋" w:cs="华文仿宋"/>
          <w:sz w:val="32"/>
          <w:szCs w:val="32"/>
          <w:lang w:val="en-US" w:eastAsia="zh-CN"/>
        </w:rPr>
      </w:pPr>
      <w:r>
        <w:rPr>
          <w:rFonts w:hint="default" w:ascii="华文仿宋" w:hAnsi="华文仿宋" w:eastAsia="华文仿宋" w:cs="华文仿宋"/>
          <w:sz w:val="32"/>
          <w:szCs w:val="32"/>
          <w:lang w:val="en-US" w:eastAsia="zh-CN"/>
        </w:rPr>
        <w:t>（一）继续加强出生缺陷综合防控工作，提高我市出生人口素质。</w:t>
      </w:r>
    </w:p>
    <w:p>
      <w:pPr>
        <w:spacing w:line="560" w:lineRule="exact"/>
        <w:ind w:firstLine="640" w:firstLineChars="200"/>
        <w:rPr>
          <w:rFonts w:hint="default" w:ascii="华文仿宋" w:hAnsi="华文仿宋" w:eastAsia="华文仿宋" w:cs="华文仿宋"/>
          <w:sz w:val="32"/>
          <w:szCs w:val="32"/>
          <w:lang w:val="en-US" w:eastAsia="zh-CN"/>
        </w:rPr>
      </w:pPr>
      <w:r>
        <w:rPr>
          <w:rFonts w:hint="default" w:ascii="华文仿宋" w:hAnsi="华文仿宋" w:eastAsia="华文仿宋" w:cs="华文仿宋"/>
          <w:sz w:val="32"/>
          <w:szCs w:val="32"/>
          <w:lang w:val="en-US" w:eastAsia="zh-CN"/>
        </w:rPr>
        <w:t>（二）规范使用孕情监测登记表，进一步做好孕情监测工作，继续加强高危孕产妇专案管理，全面落实省高危系统应用，充分利用信息化管理，实现高危孕产妇闭环管理，筑牢母婴安全屏障，保障母婴安全。</w:t>
      </w:r>
    </w:p>
    <w:p>
      <w:pPr>
        <w:spacing w:line="560" w:lineRule="exact"/>
        <w:ind w:firstLine="640" w:firstLineChars="200"/>
        <w:rPr>
          <w:rFonts w:hint="default" w:ascii="华文仿宋" w:hAnsi="华文仿宋" w:eastAsia="华文仿宋" w:cs="华文仿宋"/>
          <w:sz w:val="32"/>
          <w:szCs w:val="32"/>
          <w:lang w:val="en-US" w:eastAsia="zh-CN"/>
        </w:rPr>
      </w:pPr>
      <w:r>
        <w:rPr>
          <w:rFonts w:hint="default" w:ascii="华文仿宋" w:hAnsi="华文仿宋" w:eastAsia="华文仿宋" w:cs="华文仿宋"/>
          <w:sz w:val="32"/>
          <w:szCs w:val="32"/>
          <w:lang w:val="en-US" w:eastAsia="zh-CN"/>
        </w:rPr>
        <w:t>（三）继续加强对</w:t>
      </w:r>
      <w:r>
        <w:rPr>
          <w:rFonts w:hint="eastAsia" w:ascii="华文仿宋" w:hAnsi="华文仿宋" w:eastAsia="华文仿宋" w:cs="华文仿宋"/>
          <w:sz w:val="32"/>
          <w:szCs w:val="32"/>
          <w:lang w:val="en-US" w:eastAsia="zh"/>
        </w:rPr>
        <w:t>孕产妇和</w:t>
      </w:r>
      <w:r>
        <w:rPr>
          <w:rFonts w:hint="default" w:ascii="华文仿宋" w:hAnsi="华文仿宋" w:eastAsia="华文仿宋" w:cs="华文仿宋"/>
          <w:sz w:val="32"/>
          <w:szCs w:val="32"/>
          <w:lang w:val="en-US" w:eastAsia="zh-CN"/>
        </w:rPr>
        <w:t>5岁以下儿童死亡的防控工作，加强孕期健康管理和健康教育宣传工作，减少低出生体重和早产儿的出生；持续加强产儿科能力建设，落实儿科医生进产房陪产工作要求，以提升新生儿复苏抢救能力。</w:t>
      </w:r>
    </w:p>
    <w:p>
      <w:pPr>
        <w:spacing w:line="560" w:lineRule="exact"/>
        <w:ind w:firstLine="640" w:firstLineChars="200"/>
        <w:rPr>
          <w:rFonts w:hint="default" w:ascii="华文仿宋" w:hAnsi="华文仿宋" w:eastAsia="华文仿宋" w:cs="华文仿宋"/>
          <w:sz w:val="32"/>
          <w:szCs w:val="32"/>
          <w:lang w:val="en-US" w:eastAsia="zh-CN"/>
        </w:rPr>
      </w:pPr>
      <w:r>
        <w:rPr>
          <w:rFonts w:hint="default" w:ascii="华文仿宋" w:hAnsi="华文仿宋" w:eastAsia="华文仿宋" w:cs="华文仿宋"/>
          <w:sz w:val="32"/>
          <w:szCs w:val="32"/>
          <w:lang w:val="en-US" w:eastAsia="zh-CN"/>
        </w:rPr>
        <w:t>（四）继续加强对妇幼卫生工作的监督和指导，及时发现工作中存在的问题，并跟踪解决问题，确保各项工作有效实施。</w:t>
      </w:r>
    </w:p>
    <w:p>
      <w:pPr>
        <w:spacing w:line="560" w:lineRule="exact"/>
        <w:ind w:firstLine="640" w:firstLineChars="200"/>
        <w:rPr>
          <w:rFonts w:hint="default" w:ascii="华文仿宋" w:hAnsi="华文仿宋" w:eastAsia="华文仿宋" w:cs="华文仿宋"/>
          <w:sz w:val="32"/>
          <w:szCs w:val="32"/>
          <w:lang w:val="en-US" w:eastAsia="zh-CN"/>
        </w:rPr>
      </w:pPr>
      <w:r>
        <w:rPr>
          <w:rFonts w:hint="default" w:ascii="华文仿宋" w:hAnsi="华文仿宋" w:eastAsia="华文仿宋" w:cs="华文仿宋"/>
          <w:sz w:val="32"/>
          <w:szCs w:val="32"/>
          <w:lang w:val="en-US" w:eastAsia="zh-CN"/>
        </w:rPr>
        <w:t>（五）继续加强对妇幼卫生监测和年报信息工作的管理，确保妇幼卫生信息的及时性、准确性和科学性。</w:t>
      </w:r>
    </w:p>
    <w:p>
      <w:pPr>
        <w:spacing w:line="560" w:lineRule="exact"/>
        <w:ind w:firstLine="640" w:firstLineChars="200"/>
        <w:rPr>
          <w:rFonts w:hint="eastAsia" w:ascii="华文仿宋" w:hAnsi="华文仿宋" w:eastAsia="华文仿宋" w:cs="华文仿宋"/>
          <w:sz w:val="32"/>
          <w:szCs w:val="32"/>
        </w:rPr>
      </w:pPr>
      <w:r>
        <w:rPr>
          <w:rFonts w:hint="default" w:ascii="华文仿宋" w:hAnsi="华文仿宋" w:eastAsia="华文仿宋" w:cs="华文仿宋"/>
          <w:sz w:val="32"/>
          <w:szCs w:val="32"/>
          <w:lang w:val="en-US" w:eastAsia="zh-CN"/>
        </w:rPr>
        <w:t>（六）充分利用好妇幼公共卫生服务平台开展相关妇女儿童健康问题的科学研究，为政府部门决策和干预提供理论依据。</w:t>
      </w:r>
    </w:p>
    <w:p>
      <w:pPr>
        <w:spacing w:line="560" w:lineRule="exact"/>
        <w:ind w:firstLine="640" w:firstLineChars="200"/>
        <w:rPr>
          <w:rFonts w:hint="eastAsia" w:ascii="华文仿宋" w:hAnsi="华文仿宋" w:eastAsia="华文仿宋" w:cs="华文仿宋"/>
          <w:sz w:val="32"/>
          <w:szCs w:val="32"/>
        </w:rPr>
      </w:pPr>
    </w:p>
    <w:p>
      <w:pPr>
        <w:spacing w:line="560" w:lineRule="exact"/>
        <w:outlineLvl w:val="0"/>
        <w:rPr>
          <w:rFonts w:hint="eastAsia" w:ascii="仿宋_GB2312" w:hAnsi="仿宋_GB2312" w:eastAsia="仿宋_GB2312" w:cs="仿宋_GB2312"/>
          <w:bCs/>
          <w:color w:val="000000"/>
          <w:sz w:val="32"/>
          <w:szCs w:val="32"/>
        </w:rPr>
      </w:pPr>
    </w:p>
    <w:p>
      <w:pPr>
        <w:spacing w:line="560" w:lineRule="exact"/>
        <w:outlineLvl w:val="0"/>
        <w:rPr>
          <w:rFonts w:hint="eastAsia" w:ascii="仿宋_GB2312" w:hAnsi="仿宋_GB2312" w:eastAsia="仿宋_GB2312" w:cs="仿宋_GB2312"/>
          <w:bCs/>
          <w:color w:val="000000"/>
          <w:sz w:val="32"/>
          <w:szCs w:val="32"/>
        </w:rPr>
      </w:pPr>
    </w:p>
    <w:p>
      <w:pPr>
        <w:spacing w:line="560" w:lineRule="exact"/>
        <w:ind w:firstLine="2080" w:firstLineChars="650"/>
        <w:jc w:val="right"/>
        <w:outlineLvl w:val="0"/>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三亚市妇幼保健院</w:t>
      </w:r>
    </w:p>
    <w:p>
      <w:pPr>
        <w:spacing w:line="560" w:lineRule="exact"/>
        <w:ind w:firstLine="4800" w:firstLineChars="1500"/>
        <w:jc w:val="right"/>
        <w:outlineLvl w:val="0"/>
        <w:rPr>
          <w:rFonts w:ascii="仿宋_GB2312" w:hAnsi="仿宋" w:eastAsia="仿宋_GB2312" w:cs="仿宋_GB2312"/>
          <w:sz w:val="32"/>
          <w:szCs w:val="32"/>
        </w:rPr>
      </w:pPr>
      <w:r>
        <w:rPr>
          <w:rFonts w:hint="eastAsia" w:ascii="仿宋_GB2312" w:hAnsi="仿宋_GB2312" w:eastAsia="仿宋_GB2312" w:cs="仿宋_GB2312"/>
          <w:bCs/>
          <w:color w:val="000000"/>
          <w:sz w:val="32"/>
          <w:szCs w:val="32"/>
        </w:rPr>
        <w:t>202</w:t>
      </w:r>
      <w:r>
        <w:rPr>
          <w:rFonts w:hint="eastAsia" w:ascii="仿宋_GB2312" w:hAnsi="仿宋_GB2312" w:eastAsia="仿宋_GB2312" w:cs="仿宋_GB2312"/>
          <w:bCs/>
          <w:color w:val="000000"/>
          <w:sz w:val="32"/>
          <w:szCs w:val="32"/>
          <w:lang w:val="en-US" w:eastAsia="zh-CN"/>
        </w:rPr>
        <w:t>4</w:t>
      </w:r>
      <w:r>
        <w:rPr>
          <w:rFonts w:hint="eastAsia" w:ascii="仿宋_GB2312" w:hAnsi="仿宋_GB2312" w:eastAsia="仿宋_GB2312" w:cs="仿宋_GB2312"/>
          <w:bCs/>
          <w:color w:val="000000"/>
          <w:sz w:val="32"/>
          <w:szCs w:val="32"/>
        </w:rPr>
        <w:t>年</w:t>
      </w:r>
      <w:r>
        <w:rPr>
          <w:rFonts w:hint="eastAsia" w:ascii="仿宋_GB2312" w:hAnsi="仿宋_GB2312" w:eastAsia="仿宋_GB2312" w:cs="仿宋_GB2312"/>
          <w:bCs/>
          <w:color w:val="000000"/>
          <w:sz w:val="32"/>
          <w:szCs w:val="32"/>
          <w:lang w:val="en-US" w:eastAsia="zh-CN"/>
        </w:rPr>
        <w:t>5</w:t>
      </w:r>
      <w:r>
        <w:rPr>
          <w:rFonts w:hint="eastAsia" w:ascii="仿宋_GB2312" w:hAnsi="仿宋_GB2312" w:eastAsia="仿宋_GB2312" w:cs="仿宋_GB2312"/>
          <w:bCs/>
          <w:color w:val="000000"/>
          <w:sz w:val="32"/>
          <w:szCs w:val="32"/>
        </w:rPr>
        <w:t>月</w:t>
      </w:r>
      <w:r>
        <w:rPr>
          <w:rFonts w:hint="eastAsia" w:ascii="仿宋_GB2312" w:hAnsi="仿宋_GB2312" w:eastAsia="仿宋_GB2312" w:cs="仿宋_GB2312"/>
          <w:bCs/>
          <w:color w:val="000000"/>
          <w:sz w:val="32"/>
          <w:szCs w:val="32"/>
          <w:lang w:val="en-US" w:eastAsia="zh-CN"/>
        </w:rPr>
        <w:t>30</w:t>
      </w:r>
      <w:r>
        <w:rPr>
          <w:rFonts w:hint="eastAsia" w:ascii="仿宋_GB2312" w:hAnsi="仿宋_GB2312" w:eastAsia="仿宋_GB2312" w:cs="仿宋_GB2312"/>
          <w:bCs/>
          <w:color w:val="00000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GB2312">
    <w:altName w:val="仿宋"/>
    <w:panose1 w:val="00000000000000000000"/>
    <w:charset w:val="00"/>
    <w:family w:val="auto"/>
    <w:pitch w:val="default"/>
    <w:sig w:usb0="00000000" w:usb1="00000000" w:usb2="00000000" w:usb3="00000000" w:csb0="00000000" w:csb1="00000000"/>
  </w:font>
  <w:font w:name="华文仿宋">
    <w:altName w:val="仿宋"/>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RjMGQ2ZDViNDZmNjQ0YTJlOTcyZjI1ZTRlY2EwOTcifQ=="/>
  </w:docVars>
  <w:rsids>
    <w:rsidRoot w:val="00044C31"/>
    <w:rsid w:val="00044C31"/>
    <w:rsid w:val="000B6931"/>
    <w:rsid w:val="0086499B"/>
    <w:rsid w:val="00E8462E"/>
    <w:rsid w:val="02EF6399"/>
    <w:rsid w:val="02F358A5"/>
    <w:rsid w:val="03A06B3B"/>
    <w:rsid w:val="04624C79"/>
    <w:rsid w:val="05B66B95"/>
    <w:rsid w:val="0EE3014E"/>
    <w:rsid w:val="0FA04A4D"/>
    <w:rsid w:val="141D3DA1"/>
    <w:rsid w:val="181B32DD"/>
    <w:rsid w:val="19F1676E"/>
    <w:rsid w:val="1B1B691B"/>
    <w:rsid w:val="1CAC629E"/>
    <w:rsid w:val="1FE83BF2"/>
    <w:rsid w:val="22CB679E"/>
    <w:rsid w:val="27644281"/>
    <w:rsid w:val="28DD0C08"/>
    <w:rsid w:val="2A212F0D"/>
    <w:rsid w:val="2F12155B"/>
    <w:rsid w:val="30912D7E"/>
    <w:rsid w:val="30E63EB6"/>
    <w:rsid w:val="31AC3D3B"/>
    <w:rsid w:val="320D57E5"/>
    <w:rsid w:val="32904ACB"/>
    <w:rsid w:val="32A9540B"/>
    <w:rsid w:val="35EF7B94"/>
    <w:rsid w:val="3B2E21A4"/>
    <w:rsid w:val="3B6522A8"/>
    <w:rsid w:val="3C351074"/>
    <w:rsid w:val="3C6C1636"/>
    <w:rsid w:val="3D8C2FBC"/>
    <w:rsid w:val="3F3117DC"/>
    <w:rsid w:val="3FBE1DC8"/>
    <w:rsid w:val="401527E8"/>
    <w:rsid w:val="43844EED"/>
    <w:rsid w:val="45E90DC8"/>
    <w:rsid w:val="47EE5361"/>
    <w:rsid w:val="48A37FDF"/>
    <w:rsid w:val="4D2B4F47"/>
    <w:rsid w:val="4D9C7AE5"/>
    <w:rsid w:val="4DE43A5B"/>
    <w:rsid w:val="503B389C"/>
    <w:rsid w:val="51B3253D"/>
    <w:rsid w:val="52045B3B"/>
    <w:rsid w:val="526060C5"/>
    <w:rsid w:val="55D03553"/>
    <w:rsid w:val="55DDAEB5"/>
    <w:rsid w:val="59154690"/>
    <w:rsid w:val="59413DA8"/>
    <w:rsid w:val="5EC5693D"/>
    <w:rsid w:val="619E1028"/>
    <w:rsid w:val="63ED279A"/>
    <w:rsid w:val="640D02E6"/>
    <w:rsid w:val="658D20DE"/>
    <w:rsid w:val="692A3CA6"/>
    <w:rsid w:val="69C37363"/>
    <w:rsid w:val="69CF2E28"/>
    <w:rsid w:val="6BD539AF"/>
    <w:rsid w:val="6EB97838"/>
    <w:rsid w:val="70EE2B99"/>
    <w:rsid w:val="71904F57"/>
    <w:rsid w:val="72987E6C"/>
    <w:rsid w:val="729E7A48"/>
    <w:rsid w:val="759125DF"/>
    <w:rsid w:val="78155A4D"/>
    <w:rsid w:val="7A3B7CAD"/>
    <w:rsid w:val="7A552C46"/>
    <w:rsid w:val="7A7106EC"/>
    <w:rsid w:val="7AF413F4"/>
    <w:rsid w:val="7CC242D2"/>
    <w:rsid w:val="7E9A21A0"/>
    <w:rsid w:val="A3EF7C24"/>
    <w:rsid w:val="CBFF771A"/>
    <w:rsid w:val="FF3FBA4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iPriority w:val="0"/>
    <w:pPr>
      <w:widowControl/>
      <w:spacing w:line="288" w:lineRule="auto"/>
      <w:ind w:firstLine="680"/>
    </w:pPr>
    <w:rPr>
      <w:rFonts w:ascii="Times New Roman" w:hAnsi="Times New Roman" w:eastAsia="楷体_GB2312" w:cs="Times New Roman"/>
      <w:sz w:val="32"/>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脚 Char"/>
    <w:basedOn w:val="6"/>
    <w:link w:val="3"/>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font01"/>
    <w:basedOn w:val="6"/>
    <w:qFormat/>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6</Pages>
  <Words>2845</Words>
  <Characters>3238</Characters>
  <Lines>9</Lines>
  <Paragraphs>2</Paragraphs>
  <TotalTime>3</TotalTime>
  <ScaleCrop>false</ScaleCrop>
  <LinksUpToDate>false</LinksUpToDate>
  <CharactersWithSpaces>3240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2019-07-29T13:09:00Z</dcterms:created>
  <dc:creator>lenovo</dc:creator>
  <cp:lastModifiedBy>崔赛</cp:lastModifiedBy>
  <cp:lastPrinted>2021-10-16T09:55:00Z</cp:lastPrinted>
  <dcterms:modified xsi:type="dcterms:W3CDTF">2024-06-21T13:53:57Z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F5CB732D122D40C7BADAB72587097309_13</vt:lpwstr>
  </property>
</Properties>
</file>