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52"/>
          <w:szCs w:val="52"/>
          <w:lang w:val="en-US" w:eastAsia="zh-CN"/>
        </w:rPr>
      </w:pPr>
      <w:r>
        <w:rPr>
          <w:rFonts w:hint="eastAsia"/>
          <w:sz w:val="52"/>
          <w:szCs w:val="52"/>
          <w:lang w:val="en-US" w:eastAsia="zh-CN"/>
        </w:rPr>
        <w:t xml:space="preserve">上海交通大学医学院附属上海儿童医学中心海南医院 </w:t>
      </w:r>
    </w:p>
    <w:p>
      <w:pPr>
        <w:jc w:val="center"/>
        <w:rPr>
          <w:rFonts w:hint="eastAsia"/>
          <w:color w:val="auto"/>
          <w:sz w:val="52"/>
          <w:szCs w:val="52"/>
          <w:lang w:val="en-US" w:eastAsia="zh-CN"/>
        </w:rPr>
      </w:pPr>
      <w:r>
        <w:rPr>
          <w:rFonts w:hint="eastAsia"/>
          <w:color w:val="auto"/>
          <w:sz w:val="52"/>
          <w:szCs w:val="52"/>
          <w:lang w:val="en-US" w:eastAsia="zh-CN"/>
        </w:rPr>
        <w:t>2023年度</w:t>
      </w:r>
      <w:bookmarkStart w:id="0" w:name="_GoBack"/>
      <w:bookmarkEnd w:id="0"/>
      <w:r>
        <w:rPr>
          <w:rFonts w:hint="eastAsia"/>
          <w:color w:val="auto"/>
          <w:sz w:val="52"/>
          <w:szCs w:val="52"/>
          <w:lang w:val="en-US" w:eastAsia="zh-CN"/>
        </w:rPr>
        <w:t>人才开发专项资金项目</w:t>
      </w:r>
    </w:p>
    <w:p>
      <w:pPr>
        <w:jc w:val="center"/>
        <w:rPr>
          <w:rFonts w:hint="eastAsia"/>
          <w:sz w:val="52"/>
          <w:szCs w:val="52"/>
          <w:lang w:val="en-US" w:eastAsia="zh-CN"/>
        </w:rPr>
      </w:pPr>
      <w:r>
        <w:rPr>
          <w:rFonts w:hint="eastAsia"/>
          <w:sz w:val="52"/>
          <w:szCs w:val="52"/>
          <w:lang w:val="en-US" w:eastAsia="zh-CN"/>
        </w:rPr>
        <w:t>绩效自评报告</w:t>
      </w:r>
    </w:p>
    <w:p>
      <w:pPr>
        <w:jc w:val="center"/>
        <w:rPr>
          <w:rFonts w:hint="eastAsia"/>
          <w:sz w:val="52"/>
          <w:szCs w:val="52"/>
          <w:lang w:val="en-US" w:eastAsia="zh-CN"/>
        </w:rPr>
      </w:pPr>
    </w:p>
    <w:p>
      <w:pPr>
        <w:pStyle w:val="6"/>
        <w:numPr>
          <w:ilvl w:val="0"/>
          <w:numId w:val="0"/>
        </w:numPr>
        <w:ind w:leftChars="0"/>
        <w:jc w:val="left"/>
        <w:rPr>
          <w:rFonts w:ascii="黑体" w:hAnsi="黑体" w:eastAsia="黑体"/>
          <w:sz w:val="32"/>
          <w:szCs w:val="32"/>
        </w:rPr>
      </w:pPr>
      <w:r>
        <w:rPr>
          <w:rFonts w:hint="eastAsia" w:ascii="黑体" w:hAnsi="黑体" w:eastAsia="黑体" w:cs="黑体"/>
          <w:sz w:val="32"/>
          <w:szCs w:val="32"/>
          <w:lang w:val="en-US" w:eastAsia="zh-CN"/>
        </w:rPr>
        <w:t>一、项目</w:t>
      </w:r>
      <w:r>
        <w:rPr>
          <w:rFonts w:hint="eastAsia" w:ascii="黑体" w:hAnsi="黑体" w:eastAsia="黑体"/>
          <w:sz w:val="32"/>
          <w:szCs w:val="32"/>
        </w:rPr>
        <w:t>概况</w:t>
      </w:r>
    </w:p>
    <w:p>
      <w:pPr>
        <w:pStyle w:val="6"/>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项目基本情况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在上海儿童医学中心的大力扶持下，我院医疗水平和服务能力迅速提高，为突出我院妇幼专科特色，通过名医工作室硬件建设、学术经验推广、青年骨干人才培养、制度建设以及新技术和新项目推广、科研项目的研究等，依托此项目将我院产科、儿外科、乳腺科、生殖、产前诊断中心等针对围产期母胎保健、出生缺陷精准防治、乳腺疾病等专业擅治的常见病、疑难病的诊疗经验，开展优势病种诊疗方案研究，并推广应用于临床和教学，针对妇幼群体打造妇幼全生命周期医疗保健服务；培养造就一批妇幼专科及出生缺陷防控骨干人才，为医院高质量发展提供人才和技术支持。</w:t>
      </w:r>
    </w:p>
    <w:p>
      <w:pPr>
        <w:pStyle w:val="6"/>
        <w:numPr>
          <w:ilvl w:val="0"/>
          <w:numId w:val="1"/>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项目绩效目标设定情况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（1）绩效目标：三年建设周期，完成工作室临床、科研和教学任务。</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lang w:val="en-US" w:eastAsia="zh-CN"/>
        </w:rPr>
        <w:t>（2）绩效成效：经济效益：科研成果转化到临床工作中，</w:t>
      </w:r>
      <w:r>
        <w:rPr>
          <w:rFonts w:hint="eastAsia" w:ascii="仿宋_GB2312" w:hAnsi="仿宋_GB2312" w:eastAsia="仿宋_GB2312" w:cs="仿宋_GB2312"/>
          <w:color w:val="auto"/>
          <w:sz w:val="32"/>
          <w:szCs w:val="32"/>
          <w:lang w:val="en-US" w:eastAsia="zh-CN"/>
        </w:rPr>
        <w:t>提升医疗服务能力，</w:t>
      </w:r>
      <w:r>
        <w:rPr>
          <w:rFonts w:hint="eastAsia" w:ascii="仿宋_GB2312" w:hAnsi="仿宋_GB2312" w:eastAsia="仿宋_GB2312" w:cs="仿宋_GB2312"/>
          <w:color w:val="auto"/>
          <w:sz w:val="32"/>
          <w:szCs w:val="32"/>
          <w:highlight w:val="none"/>
          <w:lang w:val="en-US" w:eastAsia="zh-CN"/>
        </w:rPr>
        <w:t>提高患者满意度，实现大病不出岛的目标，同时增强医务人员的获得感。</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社会效益：通过名医工作室的建立，完善全生命周期妇女儿童健康服务体系的建设，加强妇女全生命周期的健康管理，降低孕产妇、儿童死亡率，建立健全婚前、孕前、孕期、新生儿和儿童各阶段出生缺陷防治，加强“两癌”工作的开展，提高妇女生殖健康水平，降低出生缺陷发生率，提高出生人口素质，为全市及琼南地区妇女、儿童身心健康保驾护航。</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ascii="黑体" w:hAnsi="黑体" w:eastAsia="黑体"/>
          <w:sz w:val="32"/>
          <w:szCs w:val="32"/>
        </w:rPr>
      </w:pPr>
      <w:r>
        <w:rPr>
          <w:rFonts w:hint="eastAsia" w:ascii="黑体" w:hAnsi="黑体" w:eastAsia="黑体"/>
          <w:sz w:val="32"/>
          <w:szCs w:val="32"/>
          <w:lang w:val="en-US" w:eastAsia="zh-CN"/>
        </w:rPr>
        <w:t>二、项目决策及资金使用管理情况</w:t>
      </w:r>
    </w:p>
    <w:p>
      <w:pPr>
        <w:pStyle w:val="6"/>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项目决策情况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该项目经费主要用于采购名医工作室所需设备、培养青年骨干人才、科研项目研究、青年骨干人才培养、学术经验推广、新技术和新项目研究等费用的支出。</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项目投资到位及使用情况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预算分为生殖与发育重点实验室多维度人才培养建设99万元，洪日名医工作室预算50万元，田秀娟名医工作室预算50万元。其中生殖与发育重点实验室多维度人才培养建设资金年初预算99万元，回收31.93万元，实际使用64.82万元，使用率为96.65%，主要用于人员进修及培训5.46万元，参加会议费用3.2万元，办公设备及信息软件6.31万元，学科建设和提升2.41万元，科研耗材及劳务费41.26万元，举办培训班费用6.18万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洪日名医工作室年初拨付预算50万元，回收11.61万元，实际使用32.81万元，使用率为85.46%，用于宣传动画制作费用0.425万元，办公设备购买费用4.25万元，活动礼品费用1.035万元，购买书籍0.22万元，购买办公用品0.156万元，进修费用4.19万元，药品及耗材费用3.34万元，专用设备购置19.2万元。</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田秀娟名医工作室年初拨付预算50万元，回收4.06万元，实际使用39.55万元，使用率为86.07%，其中用于办公设备购置27.36万元，信息网络软件购置3.5万元，科研费用0.18万元，学科建设费用1.13万元，举办培训班费用3.37万元，员外出进修、培训及参加会议费用等3.59万元，购买教材费用0.42万元。</w:t>
      </w:r>
    </w:p>
    <w:p>
      <w:pPr>
        <w:pStyle w:val="6"/>
        <w:numPr>
          <w:ilvl w:val="0"/>
          <w:numId w:val="0"/>
        </w:numPr>
        <w:ind w:left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三、项目组织实施情况</w:t>
      </w:r>
    </w:p>
    <w:p>
      <w:pPr>
        <w:pStyle w:val="6"/>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项目组织情况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用于采购的支出主要是购买触控会议平板一体机、台式电脑等、基因数据分析工作站等医疗设备、空气波压力治疗仪等，填报说明：项目招投标情况、调整情况、完成验收等，已完成政府公开招标采购及设备验收工作，于2023年12月完成支出。</w:t>
      </w:r>
    </w:p>
    <w:p>
      <w:pPr>
        <w:pStyle w:val="6"/>
        <w:numPr>
          <w:ilvl w:val="0"/>
          <w:numId w:val="2"/>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项目实施情况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预算项目主要用于人才培养及学科的提升建设以提升医院服务能力水平，在人才培养方面，以送出去进修、培训、参加学术会议或者举办培训班等形式来提升人才专业技能和技术水平，在学科建设方面主要是通过配置专用设备、邀请专家指导或坐诊以及进行科研来提升学科水平。</w:t>
      </w:r>
    </w:p>
    <w:p>
      <w:pPr>
        <w:pStyle w:val="6"/>
        <w:numPr>
          <w:ilvl w:val="0"/>
          <w:numId w:val="3"/>
        </w:numPr>
        <w:ind w:leftChars="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项目绩效分析</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项目绩效指标主要为培养妇幼专科中级及以上临床医护人员及提高辖区范围内妇女生殖健康水平，</w:t>
      </w:r>
      <w:r>
        <w:rPr>
          <w:rFonts w:hint="eastAsia" w:ascii="仿宋_GB2312" w:hAnsi="仿宋_GB2312" w:eastAsia="仿宋_GB2312" w:cs="仿宋_GB2312"/>
          <w:sz w:val="32"/>
          <w:szCs w:val="32"/>
          <w:lang w:val="en-US" w:eastAsia="zh-CN"/>
        </w:rPr>
        <w:t>2023年共晋升30名中级及以上专业技术人员，在三亚地区开展电子胎心监护专项线下强化培训会议及生殖技术培训。累计150多名从事妇产、生殖工作的本院及基层医护人员参加了培训，业务水平得到了强化，有利于提升地区妇女儿童医疗保健服务水平，基本完成项目绩效指标。</w:t>
      </w:r>
    </w:p>
    <w:p>
      <w:pPr>
        <w:pStyle w:val="6"/>
        <w:numPr>
          <w:ilvl w:val="0"/>
          <w:numId w:val="0"/>
        </w:numPr>
        <w:ind w:leftChars="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五、项目绩效分析</w:t>
      </w:r>
    </w:p>
    <w:p>
      <w:pPr>
        <w:pStyle w:val="6"/>
        <w:numPr>
          <w:ilvl w:val="0"/>
          <w:numId w:val="0"/>
        </w:numPr>
        <w:ind w:leftChars="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主要的经验和做法</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在预算使用前，让预算执行科室提交预算使用计划后才下发资金，在第一次因资金使用不及时被回收后，让预算执行科室加快资金使用进度，从而在年底前使项目执行率达到90%以上。</w:t>
      </w:r>
    </w:p>
    <w:p>
      <w:pPr>
        <w:pStyle w:val="6"/>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（二）存在的问题</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一、由于设备采购程序耗费时间较久，往往需要年底才能支付，容易影响预算的使用进度。</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二、其他支出主要涉及进修、培训、会议参会及举办活动费用，该类型费用是事项完成后报销，难以控制使用进度，尤其培训主要集中在每年中下旬进行，报销时间也会影响预算使用进度。</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三、因为对预算经济分类可支出范围理解不明确，导致后期多次变更预算经济分类，由于申请变更经济分类需要时间，也容易耽误预算使用时间。</w:t>
      </w:r>
    </w:p>
    <w:p>
      <w:pPr>
        <w:pStyle w:val="6"/>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（三）改进措施及建议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一、在预算使用过程中存在反复修改支出计划及经济分类的问题，已要求预算执行部门在使用资金前报送详细预算使用计划及测算依据，经上会讨论通过后才能进行下一步使用；</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在预算使用过程中，存在着资金报销范围可能不属于项目建设范畴的问题，比如用资金购买活动礼品，因无法确认该项支出是否和项目建设有关，已和预算执行部门传达此项不属于报销范畴，并将会严格执行审核标准，确保资金合规使用。</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三、对于需要进行招标采购流程的服务或设备购买费用，将根据资金使用计划督促科室及时制定购买需求并走程序，从而避免支付不及时导致资金回收的问题。</w:t>
      </w:r>
    </w:p>
    <w:p>
      <w:pPr>
        <w:jc w:val="both"/>
        <w:rPr>
          <w:rFonts w:hint="eastAsia"/>
          <w:sz w:val="52"/>
          <w:szCs w:val="52"/>
          <w:lang w:val="en-US" w:eastAsia="zh-CN"/>
        </w:rPr>
      </w:pPr>
    </w:p>
    <w:p>
      <w:pPr>
        <w:jc w:val="center"/>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上海交通大学医学院附属上海儿童医学中心海南医院</w:t>
      </w:r>
    </w:p>
    <w:p>
      <w:pPr>
        <w:jc w:val="center"/>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2024年6月3日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769BF5"/>
    <w:multiLevelType w:val="singleLevel"/>
    <w:tmpl w:val="AE769BF5"/>
    <w:lvl w:ilvl="0" w:tentative="0">
      <w:start w:val="2"/>
      <w:numFmt w:val="chineseCounting"/>
      <w:suff w:val="nothing"/>
      <w:lvlText w:val="（%1）"/>
      <w:lvlJc w:val="left"/>
      <w:rPr>
        <w:rFonts w:hint="eastAsia"/>
      </w:rPr>
    </w:lvl>
  </w:abstractNum>
  <w:abstractNum w:abstractNumId="1">
    <w:nsid w:val="B0BF1EC3"/>
    <w:multiLevelType w:val="singleLevel"/>
    <w:tmpl w:val="B0BF1EC3"/>
    <w:lvl w:ilvl="0" w:tentative="0">
      <w:start w:val="2"/>
      <w:numFmt w:val="chineseCounting"/>
      <w:suff w:val="nothing"/>
      <w:lvlText w:val="（%1）"/>
      <w:lvlJc w:val="left"/>
      <w:rPr>
        <w:rFonts w:hint="eastAsia"/>
      </w:rPr>
    </w:lvl>
  </w:abstractNum>
  <w:abstractNum w:abstractNumId="2">
    <w:nsid w:val="B5522453"/>
    <w:multiLevelType w:val="singleLevel"/>
    <w:tmpl w:val="B5522453"/>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jMTBiYzIyYWJiNTQ4MDhkZGU2YmI1MmE2MzkyZTIifQ=="/>
  </w:docVars>
  <w:rsids>
    <w:rsidRoot w:val="4016378D"/>
    <w:rsid w:val="029C1412"/>
    <w:rsid w:val="030A318B"/>
    <w:rsid w:val="03A05064"/>
    <w:rsid w:val="046E7D42"/>
    <w:rsid w:val="048B5BE2"/>
    <w:rsid w:val="07293490"/>
    <w:rsid w:val="07D94616"/>
    <w:rsid w:val="083A10B9"/>
    <w:rsid w:val="09953779"/>
    <w:rsid w:val="0F570577"/>
    <w:rsid w:val="0FC35593"/>
    <w:rsid w:val="11494763"/>
    <w:rsid w:val="1246139A"/>
    <w:rsid w:val="152B13DE"/>
    <w:rsid w:val="16A26AEA"/>
    <w:rsid w:val="196757A8"/>
    <w:rsid w:val="1A66082C"/>
    <w:rsid w:val="1BEA19AB"/>
    <w:rsid w:val="1CC57360"/>
    <w:rsid w:val="1E3C0EC3"/>
    <w:rsid w:val="1F711717"/>
    <w:rsid w:val="1FD55B0C"/>
    <w:rsid w:val="211412CE"/>
    <w:rsid w:val="26063217"/>
    <w:rsid w:val="27CE5BE6"/>
    <w:rsid w:val="27CF06ED"/>
    <w:rsid w:val="283615D7"/>
    <w:rsid w:val="285B196C"/>
    <w:rsid w:val="2D92328E"/>
    <w:rsid w:val="2E4545E1"/>
    <w:rsid w:val="2F011A5C"/>
    <w:rsid w:val="311B2CA1"/>
    <w:rsid w:val="346E0FD9"/>
    <w:rsid w:val="351A4295"/>
    <w:rsid w:val="353323D5"/>
    <w:rsid w:val="353A1D60"/>
    <w:rsid w:val="37DC7F27"/>
    <w:rsid w:val="3ADF0647"/>
    <w:rsid w:val="3B643497"/>
    <w:rsid w:val="3D664FE3"/>
    <w:rsid w:val="3D7B5AED"/>
    <w:rsid w:val="3D8D45D0"/>
    <w:rsid w:val="3ECF4342"/>
    <w:rsid w:val="4016378D"/>
    <w:rsid w:val="40326DEC"/>
    <w:rsid w:val="40F54BF5"/>
    <w:rsid w:val="41382B15"/>
    <w:rsid w:val="417B6FD1"/>
    <w:rsid w:val="418276D0"/>
    <w:rsid w:val="41D840F7"/>
    <w:rsid w:val="427C0C6D"/>
    <w:rsid w:val="43324E9F"/>
    <w:rsid w:val="4669507C"/>
    <w:rsid w:val="47EC7D13"/>
    <w:rsid w:val="49521198"/>
    <w:rsid w:val="4B8E1654"/>
    <w:rsid w:val="4B907252"/>
    <w:rsid w:val="4BDD2EB5"/>
    <w:rsid w:val="4EEF31E1"/>
    <w:rsid w:val="4FCB6336"/>
    <w:rsid w:val="5120753B"/>
    <w:rsid w:val="5272350A"/>
    <w:rsid w:val="558E2409"/>
    <w:rsid w:val="565D336E"/>
    <w:rsid w:val="568679FA"/>
    <w:rsid w:val="5A20384C"/>
    <w:rsid w:val="5A5E46D2"/>
    <w:rsid w:val="5A9539A3"/>
    <w:rsid w:val="5ABC3575"/>
    <w:rsid w:val="5B9F377A"/>
    <w:rsid w:val="5C71038F"/>
    <w:rsid w:val="5D907010"/>
    <w:rsid w:val="5FA178F5"/>
    <w:rsid w:val="61291238"/>
    <w:rsid w:val="64D93187"/>
    <w:rsid w:val="658A1A66"/>
    <w:rsid w:val="66E300DB"/>
    <w:rsid w:val="67801DCE"/>
    <w:rsid w:val="67BC2E06"/>
    <w:rsid w:val="67C63C85"/>
    <w:rsid w:val="6F697ED6"/>
    <w:rsid w:val="6F7929D2"/>
    <w:rsid w:val="711A6DEF"/>
    <w:rsid w:val="716763F1"/>
    <w:rsid w:val="71FE6C60"/>
    <w:rsid w:val="726C6B78"/>
    <w:rsid w:val="75ED3A34"/>
    <w:rsid w:val="760E3AB3"/>
    <w:rsid w:val="761348DE"/>
    <w:rsid w:val="76301701"/>
    <w:rsid w:val="771B2D70"/>
    <w:rsid w:val="78CA0E75"/>
    <w:rsid w:val="797A59D4"/>
    <w:rsid w:val="7A191387"/>
    <w:rsid w:val="7A375D38"/>
    <w:rsid w:val="7B241EDA"/>
    <w:rsid w:val="7B626F6A"/>
    <w:rsid w:val="7C3930C6"/>
    <w:rsid w:val="7CB02E5B"/>
    <w:rsid w:val="7DF91B29"/>
    <w:rsid w:val="7DFE0D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5">
    <w:name w:val="Strong"/>
    <w:basedOn w:val="4"/>
    <w:qFormat/>
    <w:uiPriority w:val="0"/>
    <w:rPr>
      <w:b/>
    </w:rPr>
  </w:style>
  <w:style w:type="paragraph" w:customStyle="1" w:styleId="6">
    <w:name w:val="List Paragraph"/>
    <w:basedOn w:val="1"/>
    <w:qFormat/>
    <w:uiPriority w:val="34"/>
    <w:pPr>
      <w:ind w:firstLine="420" w:firstLineChars="200"/>
    </w:pPr>
  </w:style>
  <w:style w:type="character" w:customStyle="1" w:styleId="7">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2118</Words>
  <Characters>2243</Characters>
  <Lines>0</Lines>
  <Paragraphs>0</Paragraphs>
  <TotalTime>26</TotalTime>
  <ScaleCrop>false</ScaleCrop>
  <LinksUpToDate>false</LinksUpToDate>
  <CharactersWithSpaces>2254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2024-05-10T01:46:00Z</dcterms:created>
  <dc:creator>轻</dc:creator>
  <cp:lastModifiedBy>轻</cp:lastModifiedBy>
  <dcterms:modified xsi:type="dcterms:W3CDTF">2024-06-26T08:28:42Z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3B7EB71D561649818ADE12D4E96A87D2_13</vt:lpwstr>
  </property>
</Properties>
</file>