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上海交通大学医学院附属上海儿童医学中心海南医院 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color w:val="auto"/>
          <w:sz w:val="52"/>
          <w:szCs w:val="52"/>
          <w:lang w:val="en-US" w:eastAsia="zh-CN"/>
        </w:rPr>
        <w:t>2023年</w:t>
      </w:r>
      <w:bookmarkStart w:id="0" w:name="_GoBack"/>
      <w:bookmarkEnd w:id="0"/>
      <w:r>
        <w:rPr>
          <w:rFonts w:hint="eastAsia"/>
          <w:color w:val="auto"/>
          <w:sz w:val="52"/>
          <w:szCs w:val="52"/>
          <w:lang w:val="en-US" w:eastAsia="zh-CN"/>
        </w:rPr>
        <w:t>干部保健项目</w:t>
      </w:r>
      <w:r>
        <w:rPr>
          <w:rFonts w:hint="eastAsia"/>
          <w:sz w:val="52"/>
          <w:szCs w:val="52"/>
          <w:lang w:val="en-US" w:eastAsia="zh-CN"/>
        </w:rPr>
        <w:t>绩效自评报告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项目基本情况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为做好在我市全职工作的高层次人才和市优秀专家健康体检工作，进一步落实高层次人才医疗保健工作，保障高层人才以及干部们的身体健康，进一步营造“尊重人才、关爱人才”的良好氛围。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（二）项目绩效目标设定情况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总体目标：为服务对象就医提供优先、有序、安全、畅通的诊疗绿色通道。切实让人才们享受到优质、高效、安全的医疗服务。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根据人才发展局送来的名单，以短信和电话的形式通知到位，进行通知、保障服务工作，实行“预约制度”、“实名制度”。争取做到在规定期限内尽可能完成阶段性工作。</w:t>
      </w:r>
    </w:p>
    <w:p>
      <w:pPr>
        <w:pStyle w:val="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二、项目决策及资金使用管理情况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项目决策情况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严格按照制度的规定，合规使用，专款专用。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（二）项目投资到位及使用情况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体检工作完成后，由健康管理中心汇总实际参加体检的人员信息报市卫健委初审，市委人才发展局复核。体检费用由市卫健委报市财政局拨付经费。</w:t>
      </w:r>
    </w:p>
    <w:p>
      <w:pPr>
        <w:pStyle w:val="4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项目组织情况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项目招投标情况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组织情况：健康体检中心所有人员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（二）项目实施情况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1、健康管理中心主动联系以及预约体检人员，介绍体检中心情况和体检项目。了解体检人员体检需求、体检项目等事宜。全程提供优质体检服务，体检结束建立档案，提供体检报告书以及健康管理方案。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2、接待期间，对人才实行“一对一”跟踪服务。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3、接待人员着装规范，过程中，普通话、礼貌用语规范，面带微笑，细致、周到。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4、熟练业务技能，高质、高效完成接待任务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5、加强安全防范意识，保证设施、设备的使用安全。</w:t>
      </w:r>
    </w:p>
    <w:p>
      <w:pPr>
        <w:pStyle w:val="4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四、项目绩效分析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项目绩效目标完成情况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此次，来我院体检高层次人才人数为：674名，其中，大师级人才类（A类）0人，杰出人才类（B类）1人，领军人才类（C类）18人，拔尖人才类（D类）48人，其他人才类（E类）505人次，体检总费用为1196500元（壹佰壹拾玖万陆仟伍佰元整）；承接2022年处级以上领导干部体检人数为：29人，体检总费用为66700元（陆万陆仟柒佰元整）。2022年度体检完成率达到100%，效益指标达到92%，服务满意度达到96%，完成所设定目标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（二）项目绩效目标未完成情况及原因分析</w:t>
      </w:r>
    </w:p>
    <w:p>
      <w:pPr>
        <w:pStyle w:val="4"/>
        <w:numPr>
          <w:ilvl w:val="0"/>
          <w:numId w:val="0"/>
        </w:numPr>
        <w:ind w:leftChars="0" w:firstLine="1280" w:firstLineChars="40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无</w:t>
      </w:r>
    </w:p>
    <w:p>
      <w:pPr>
        <w:pStyle w:val="4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五、项目绩效分析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主要的经验和做法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由于检费用由市卫健委报市财政局拨付经费。主要采用多层次结构化通知高层次人才体检，给予优化的服务。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default" w:ascii="仿宋_GB2312" w:hAnsi="仿宋_GB2312" w:eastAsia="仿宋_GB2312" w:cs="仿宋_GB2312"/>
          <w:color w:val="33333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 xml:space="preserve">此次项目此次体检由专业的护理人员全程陪检，个性化制定体检流程，提供优质的服务。中心环境温馨、设施完善，拥有体检客户专用的低剂量螺旋CT、飞利浦、等高端彩超、双能骨密度仪眼底照相机等先进设备。体检过程中全部使用一次性耗材，有效地避免交叉感染，所有体检项目在中心“一站式”完成。 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（二）存在的问题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未能做到及时分析，管理制度不够完善。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（三）改进措施及建议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过项目的自评工作，反馈绩效自评结果，强化预算项目管理。下一步工作改进措施：一、强化意识，加强学习，改进预算管理。二、对项目的预算做到客观的分析，准确的预算，保障项目的实施，设立绩效指标体系。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both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上海交通大学医学院附属上海儿童医学中心海南医院</w:t>
      </w:r>
    </w:p>
    <w:p>
      <w:pPr>
        <w:jc w:val="center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        2024年 6月5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MTBiYzIyYWJiNTQ4MDhkZGU2YmI1MmE2MzkyZTIifQ=="/>
  </w:docVars>
  <w:rsids>
    <w:rsidRoot w:val="4016378D"/>
    <w:rsid w:val="06442936"/>
    <w:rsid w:val="07CB4548"/>
    <w:rsid w:val="07D27B9C"/>
    <w:rsid w:val="0B32369C"/>
    <w:rsid w:val="0E5960C8"/>
    <w:rsid w:val="11494763"/>
    <w:rsid w:val="130D010A"/>
    <w:rsid w:val="13141B28"/>
    <w:rsid w:val="152B13DE"/>
    <w:rsid w:val="162714E3"/>
    <w:rsid w:val="16463C33"/>
    <w:rsid w:val="1FB64394"/>
    <w:rsid w:val="1FF40688"/>
    <w:rsid w:val="211412CE"/>
    <w:rsid w:val="27280C17"/>
    <w:rsid w:val="27CE5BE6"/>
    <w:rsid w:val="2EED04CF"/>
    <w:rsid w:val="353323D5"/>
    <w:rsid w:val="36C505C0"/>
    <w:rsid w:val="3BF263AC"/>
    <w:rsid w:val="4016378D"/>
    <w:rsid w:val="410018BF"/>
    <w:rsid w:val="418276D0"/>
    <w:rsid w:val="433359A4"/>
    <w:rsid w:val="454E255C"/>
    <w:rsid w:val="473F5DDD"/>
    <w:rsid w:val="47DC515B"/>
    <w:rsid w:val="4A8A3813"/>
    <w:rsid w:val="4E6A1D7E"/>
    <w:rsid w:val="537B63EF"/>
    <w:rsid w:val="5A6D0F83"/>
    <w:rsid w:val="61291238"/>
    <w:rsid w:val="64FD4EB5"/>
    <w:rsid w:val="685E7C65"/>
    <w:rsid w:val="6B282560"/>
    <w:rsid w:val="6B5626C2"/>
    <w:rsid w:val="74455F7D"/>
    <w:rsid w:val="7E5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1238</Words>
  <Characters>1272</Characters>
  <Lines>0</Lines>
  <Paragraphs>0</Paragraphs>
  <TotalTime>6</TotalTime>
  <ScaleCrop>false</ScaleCrop>
  <LinksUpToDate>false</LinksUpToDate>
  <CharactersWithSpaces>1309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2024-05-10T01:46:00Z</dcterms:created>
  <dc:creator>轻</dc:creator>
  <cp:lastModifiedBy>轻</cp:lastModifiedBy>
  <dcterms:modified xsi:type="dcterms:W3CDTF">2024-06-26T08:27:23Z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2269D368FBE64FF38CD8F89DAA8C383E_13</vt:lpwstr>
  </property>
</Properties>
</file>